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00" w:type="dxa"/>
        <w:tblCellSpacing w:w="60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shd w:val="clear" w:color="auto" w:fill="E7F0F9"/>
        <w:tblCellMar>
          <w:left w:w="10" w:type="dxa"/>
          <w:right w:w="10" w:type="dxa"/>
        </w:tblCellMar>
        <w:tblLook w:val="0000"/>
      </w:tblPr>
      <w:tblGrid>
        <w:gridCol w:w="2254"/>
        <w:gridCol w:w="6746"/>
      </w:tblGrid>
      <w:tr w:rsidR="00187F12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rPr>
                <w:b/>
              </w:rPr>
              <w:t>RKP broj</w:t>
            </w:r>
          </w:p>
        </w:tc>
        <w:tc>
          <w:tcPr>
            <w:tcW w:w="0" w:type="auto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t>29951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rPr>
                <w:b/>
              </w:rPr>
              <w:t>Naziv obveznika</w:t>
            </w:r>
          </w:p>
        </w:tc>
        <w:tc>
          <w:tcPr>
            <w:tcW w:w="0" w:type="auto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t>OPĆINA POSTIRA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rPr>
                <w:b/>
              </w:rPr>
              <w:t>Razina</w:t>
            </w:r>
          </w:p>
        </w:tc>
        <w:tc>
          <w:tcPr>
            <w:tcW w:w="0" w:type="auto"/>
            <w:shd w:val="clear" w:color="auto" w:fill="E7F0F9"/>
          </w:tcPr>
          <w:p w:rsidR="00187F12" w:rsidRDefault="008F609C">
            <w:pPr>
              <w:spacing w:after="0" w:line="240" w:lineRule="auto"/>
            </w:pPr>
            <w:r>
              <w:t>23</w:t>
            </w:r>
          </w:p>
        </w:tc>
      </w:tr>
    </w:tbl>
    <w:p w:rsidR="00187F12" w:rsidRDefault="008F609C">
      <w:r>
        <w:br/>
      </w:r>
    </w:p>
    <w:p w:rsidR="00187F12" w:rsidRDefault="008F609C">
      <w:pPr>
        <w:spacing w:line="240" w:lineRule="auto"/>
        <w:jc w:val="center"/>
      </w:pPr>
      <w:r>
        <w:rPr>
          <w:b/>
          <w:sz w:val="28"/>
        </w:rPr>
        <w:t>BILJEŠKE UZ FINANCIJSKE IZVJEŠTAJE</w:t>
      </w:r>
    </w:p>
    <w:p w:rsidR="00187F12" w:rsidRDefault="008F609C">
      <w:pPr>
        <w:spacing w:line="240" w:lineRule="auto"/>
        <w:jc w:val="center"/>
      </w:pPr>
      <w:r>
        <w:rPr>
          <w:b/>
          <w:sz w:val="28"/>
        </w:rPr>
        <w:t>ZA RAZDOBLJE</w:t>
      </w:r>
    </w:p>
    <w:p w:rsidR="00187F12" w:rsidRDefault="008F609C">
      <w:pPr>
        <w:spacing w:line="240" w:lineRule="auto"/>
        <w:jc w:val="center"/>
      </w:pPr>
      <w:r>
        <w:rPr>
          <w:b/>
          <w:sz w:val="28"/>
        </w:rPr>
        <w:t>I - VI 2025.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b/>
          <w:sz w:val="28"/>
        </w:rPr>
        <w:t>Izvještaj o prihodima i rashodima, primicima i izdacima</w:t>
      </w:r>
    </w:p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1.</w:t>
      </w:r>
    </w:p>
    <w:tbl>
      <w:tblPr>
        <w:tblW w:w="0" w:type="auto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</w:t>
            </w:r>
            <w:r>
              <w:rPr>
                <w:b/>
                <w:sz w:val="18"/>
              </w:rPr>
              <w:t>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POSLOVANJA (šifre 61+62+63+64+65+66+67+68)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823.859,24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1.023.051,91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124,2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POSLOVANJA (šifre 31+32+34+35+36+37+38)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601.715,10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802.075,77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133,3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187F1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POSLOVANJA (šifre 6-Z005)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222.144,14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220.976,14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99,5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prodaje nefinancijske imovine (šifre 71+72+73+74)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11.288,72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1.900,00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16,8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nabavu nefinancijske imovine (šifre 41+42+43+44+45)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306.902,82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591.175,10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192,6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187F1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OD NEFINANCIJSKE IMOVINE (šifre 4-7)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295.614,10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589.275,10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199,3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Primici od financijske imovine i zaduživanja (šifre 81+82+83+84+85)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Izdaci za financijsku imovinu i otplate zajmova (šifre 51+52+53+54+55)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187F1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PRIMITAKA OD FINANCIJSKE IMOVINE I ZADUŽIVANJA (šifre 8-5, 5-8)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X003, Y003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187F1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I PRIMITAKA (šifre Y345-X678)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73.469,96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368.298,96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501,3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Općina Postira je zajedno sa svojim korisnicima (Dječji vrtić</w:t>
      </w:r>
      <w:r>
        <w:t xml:space="preserve"> Grdelin i knjižnica Ivan Matij Škarić) u prvom polugodištu 2025. godine ostavrila ukupan MANJAK prihoda u iznosu od -368.298,96 €, što s prenesenim viškom prihoda iskazanom na grupi konta 922 u ukupnom iznosu od +692.872,56 € daje ukupan višak prihoda od </w:t>
      </w:r>
      <w:r>
        <w:t xml:space="preserve">+324.573,60 € raspoloživ u sljedećem razdoblju. Ukupan rezultat MANJAK PRIHODA I PRIMITAKA od -368.298,96 € rezultata </w:t>
      </w:r>
      <w:r>
        <w:lastRenderedPageBreak/>
        <w:t>je zbroja MANJAK OPĆINE od -368.774,59 €, VIŠAK KNJIŽNICE od +6.625,93 € i MANJAK VRTIĆA od -6.150,30 €.</w:t>
      </w:r>
    </w:p>
    <w:p w:rsidR="00187F12" w:rsidRDefault="008F609C">
      <w:r>
        <w:br/>
      </w:r>
    </w:p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Stalni porezi na nepokretnu imovinu (zemlju, zgrade, kuće i ostalo)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27.796,07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13.110,95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47,2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Znatno manji prihod</w:t>
      </w:r>
      <w:r>
        <w:t xml:space="preserve"> je ostvaren na Porezu na kuće za odmor zbog ukidanja navednog poreza sa datumom 01.01.2025. te su primljene uplate dugovanja za prethodnu godinu, a novih zaduženja za 2025. godinu nije bilo.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</w:t>
            </w:r>
            <w:r>
              <w:rPr>
                <w:b/>
                <w:sz w:val="18"/>
              </w:rPr>
              <w:t>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Povremeni porezi na imovinu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110.583,86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91.814,25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83,0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Prihod je smanjen zbog smanjenja broja kupoprodajnih ugovora za kupovinu odnosno prodaju </w:t>
      </w:r>
      <w:r>
        <w:t>nekretnina u odnosu na isto razdoblje 2024.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Tekuće pomoći proračunu i </w:t>
            </w:r>
            <w:r>
              <w:rPr>
                <w:sz w:val="18"/>
              </w:rPr>
              <w:t>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19.852,00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35.678,77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179,7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Na ovoj grupi konta evidentirana je pomoć SDŽ-a za troškove izbora koje nismo imali u 2024. godini. U 2025. godini smo primili za iste 5.783,77 €. Također je na ovoj grupi </w:t>
      </w:r>
      <w:r>
        <w:t>konta evidentirana pomoć iz državnog proračuna knjižnici za nabavku knjižnične građe u iznosu od 9.195,00 €.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lastRenderedPageBreak/>
        <w:t>Bilješka 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</w:t>
            </w:r>
            <w:r>
              <w:rPr>
                <w:b/>
                <w:sz w:val="18"/>
              </w:rPr>
              <w:t>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pomoći proračunu i 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8.555,00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113.400,00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1325,5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ovoj grupi konta su ostvareni prihodi od kapitalnih pomoći, i to od Ministarstva regionalnog razvoja za parking u </w:t>
      </w:r>
      <w:r>
        <w:t>iznosu od 75.000,00 €, od SDŽ-a 12.000,00 € za odvodnju oborinskih voda te za kanalizaciju i odvodnju. Također smo primili za projektnu dokumentaciju Trolokve 2.400,00 € od SDŽ-a, za tržnicu 4.000,00 € te za parkirališta 20.000,00 €. Sve navedene prihode n</w:t>
      </w:r>
      <w:r>
        <w:t>ismo ostvarili u istom razdoblju 2024. godine već samo prihod pomoći iz državnog proračuna knjižnici za nabavku knjižnične građe.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</w:t>
            </w:r>
            <w:r>
              <w:rPr>
                <w:b/>
                <w:sz w:val="18"/>
              </w:rPr>
              <w:t>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zakupa i iznajmljivanja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9.256,41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24.143,60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260,8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Prihod je porastao jer smo u 11/2024. godine sklopili nove ugovore o zakupu prostora sa više partnera te je isti prihod vidljiv</w:t>
      </w:r>
      <w:r>
        <w:t xml:space="preserve"> u prvoj polovini 2025. godine. Povećanje prihoda je vidljivo i zbog dinamike plaćanja zakupljenih prostora.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</w:t>
            </w:r>
            <w:r>
              <w:rPr>
                <w:b/>
                <w:sz w:val="18"/>
              </w:rPr>
              <w:t>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Naknada za korištenje nefinancijske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16.172,26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14.030,91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86,8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Prihod je smanjen zbog smanjenja na prihodu od grobljanske naknade. Zaduženja za 2025. godinu su kasnije izdana u odnosu na 2024. godinu pa im je i dospijeće </w:t>
      </w:r>
      <w:r>
        <w:t>kasnije što je utjecalo na uplatu prihoda za prvu polovinu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Županijske, </w:t>
            </w:r>
            <w:r>
              <w:rPr>
                <w:sz w:val="18"/>
              </w:rPr>
              <w:t>gradske i općinske pristojbe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8.274,11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22.552,11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272,6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lastRenderedPageBreak/>
        <w:t xml:space="preserve">Radi se o izdvojenim sredstvima JP Vodovod koja se prikupljaju na posebnom računu, a koriste isključivo za kapitalne projekte vodovoda i kanalizacije. Na računu Općine prikazuju se kao </w:t>
      </w:r>
      <w:r>
        <w:t>prihod u momentu kada se koriste za plaćanje komunalno-vodnih građevina kroz kompenzacije kojih je u 2025. godini bilo u iznosu od 14.278,00 €.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</w:t>
            </w:r>
            <w:r>
              <w:rPr>
                <w:b/>
                <w:sz w:val="18"/>
              </w:rPr>
              <w:t xml:space="preserve">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Komunalni doprinosi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1.031,45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84.373,72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8180,1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Znatno veći prihod ostvaren je zbog izdavanja Rješenja obveznicima plaćanja komunalnog doprinosa temeljem dobivenih građevinskih dozvola.  U prvoj</w:t>
      </w:r>
      <w:r>
        <w:t xml:space="preserve"> polovini 2024. godine nije bilo izdanih dozvola dok su iste izdane krajem 2024. godine pa slijedom i Rješenja Općine. Kako je rok za uplatu po izvršnosti Rješenja uplate su vidljive u prvoj polovini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</w:t>
            </w:r>
            <w:r>
              <w:rPr>
                <w:b/>
                <w:sz w:val="18"/>
              </w:rPr>
              <w:t>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donacije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5.000,00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21.734,38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434,7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prvoj polovini 2024. godine evidentiran je prihod od donacije privatne </w:t>
      </w:r>
      <w:r>
        <w:t>osobe u iznosu od 5.000,00 € za spomenik Alojziju Stepincu dok smo u prvoj polovini 2025. godine sklopili Ugovor o donaciji za isti spomenik u iznosu od 21.734,38 € sa tvrtkom Berica d.o.o. i to za beton te za betonske i AB radove na izgrednji kružnog zida</w:t>
      </w:r>
      <w:r>
        <w:t xml:space="preserve"> spomenika Blaženom Alojziju Stepincu.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Plaće za redovan rad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216.434,46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281.120,86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129,9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Povećanje rashoda za plaće je značajan zbog povećanja osnovice i koeficijenta za obračun plaća u drugoj polovini 2024. godine kao i u prvoj polovini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lastRenderedPageBreak/>
        <w:t>Bilješka 12.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</w:t>
            </w:r>
            <w:r>
              <w:rPr>
                <w:b/>
                <w:sz w:val="18"/>
              </w:rPr>
              <w:t>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Doprinosi za obvezno zdravstveno osiguranje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33.794,46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43.046,66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127,4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Povećanje rashoda za plaće je značajan zbog povećanja osnovice i koeficijenta za </w:t>
      </w:r>
      <w:r>
        <w:t>obračun plaća u drugoj polovini 2024. godine kao i u prvoj polovini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Energija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25.625,71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30.489,71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119,0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Značajnije povećanje je vidljivo na kontu električna energija za javnu rasvjetu. U prvoj polovini 2025. godine evidentirana je i procjena rashoda (obračunati rashodi koji nisu fakturirani, a terete tekuće </w:t>
      </w:r>
      <w:r>
        <w:t>razdoblje) za 6/2025. godine u iznosu od 6.500,00 € što nismo imali u 2024. godini.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23.559,49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34.374,29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145,9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Značajno povećanje rashoda je najvidljivije na kontu 32245 Materijal za održavanje parkova i javnih površina. Ove godine u prvoj polovini smo nabavljali sadnice i </w:t>
      </w:r>
      <w:r>
        <w:t>sadni materijal za oplemenjivanje javnih površina kao i potrošni materijal za redovno održavanje javnih površina. Povećanje je vidljivo i na materijalu za tekuće održavanje javne rasvjete (ovisi o dinamici primljenih računa) kao i na materijalu za održavan</w:t>
      </w:r>
      <w:r>
        <w:t>je luke, plaža i obalnog pojasa (nasipavanje i dohranjivanje plaža).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Usluge tekućeg i </w:t>
            </w:r>
            <w:r>
              <w:rPr>
                <w:sz w:val="18"/>
              </w:rPr>
              <w:t>investicijskog održavanja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18.587,18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41.227,00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221,8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lastRenderedPageBreak/>
        <w:t xml:space="preserve">Značajno povećanje rashoda je vidljivo zbog povećanja usluge tekućeg održavanja opreme. Radi se o trošku pjeskarenja metalnih konstrukcija spava za vježbanje koje se nalaze na otvorenom prostoru i </w:t>
      </w:r>
      <w:r>
        <w:t>trebalo ih je obnoviti uslijed vremenskih uvjeta. Također smo imali povećanje troška za održavanje prijevoznog sredstva za 2.749,53 € u odnosu na isto razdoblje prethodne godine (kamionet za komunalne poslove). Utrostručen je i trošak usluge tekućeg održav</w:t>
      </w:r>
      <w:r>
        <w:t>anja javne rasvejete (dinamika primljenih računa). Znaćajno povećanje je vidljivo i na uslugama tekućeg održavanja cesta, trotoara i parkirališta. U 2025. godini smo imali trošak od 6.440,00 € za parkiralište prema prediu Zastivonje te trošak od 1.996,63 €</w:t>
      </w:r>
      <w:r>
        <w:t xml:space="preserve"> za montažu i demontažu stakla na autobusnoj stanici u centru mjesta. Trošak od 3.621,13 € smo imali za Lovrečina, 3.150,00 € za uređenje plaža Rot, Mala lozna, Trstena i Prja te trošak od 2.175,00 za servis i montažu Aqualiftera (rampa za invalide na plaž</w:t>
      </w:r>
      <w:r>
        <w:t>i Rot).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11.788,84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2.572,75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21,8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Uz redovne </w:t>
      </w:r>
      <w:r>
        <w:t>rashode promidžbe i informiranja u tijeku 2024. godine ostvaren je iznos od 9.950,00 € na ime snimanja promidžbene emisije o Postirskoj općini pod nazivom "Đir Postira" emitirane na Nova TV. U prvoj polovini 2025. godine smo imali samo trošak od 1.400,00 €</w:t>
      </w:r>
      <w:r>
        <w:t xml:space="preserve"> za objavu u Slobodnoj dalmaciji kandidacijskih i zbirnih lista za lokalne izbore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Indeks </w:t>
            </w:r>
            <w:r>
              <w:rPr>
                <w:b/>
                <w:sz w:val="18"/>
              </w:rPr>
              <w:t>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18.882,04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36.841,84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195,1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prvoj polovini 2025. godine imamo znaćajno povećanje troška za oprskrbu vode za parkove,igrališta i ostale javne površine. Trošak je povećan zbog procjene rashoda za 6/2025. (novo) kao i zbog </w:t>
      </w:r>
      <w:r>
        <w:t>realno veće potrošnje zbog vremenskih uvjeta. Trošak za skupljanje i odvoz smeća se povećao za 50% u odnosu na isto razdoblje prethodne godine (preuzimanje glomaznog otpada). Pogrebne usluge su se u 2025. povećale za 2.093,37 € u odnosu na isto razdoblje 2</w:t>
      </w:r>
      <w:r>
        <w:t>024. godine (dinamika korištenja usluge).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lastRenderedPageBreak/>
        <w:t>Bilješka 18.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Računalne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5.872,91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12.458,94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212,1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Značajno povećanje rashoda je vidljivo zbog unosa novog programa za komunalnu naknadu i grobljansku naknadu krajem 2024. godine kao prijenos podataka iz POS-ovog programa u program Mario commerce.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19.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za rad predstavničkih i izvršnih tijela, povjerenstava i slično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12.617,12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U 2025. godini smo imali trošak za izbore</w:t>
      </w:r>
      <w:r>
        <w:t xml:space="preserve"> dok isti trošak u 2024. godini nismo imali.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Reprezentacija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13.791,98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8.580,12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62,2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2025. godini smo imali smanjen trošak za reprezentaciju kao i za kićenje božićnim nakitom mjesto za vrijeme Božića.  U prvoj polovini 2024. godine za kićenje imamo evidentiran račun od 3.508,75 € dok je isti za Božić 2024. evidentiran u drugoj </w:t>
      </w:r>
      <w:r>
        <w:t>polovini 2024.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Članarine i norme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2.762,60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5.318,28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192,5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prvoj </w:t>
      </w:r>
      <w:r>
        <w:t>polovini 2025. godine imamo povećanje troška za članarine Lag-u i Flag-u lokacijske akcijske grupe Brač za 3.219,68 € (dinamika računa).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lastRenderedPageBreak/>
        <w:t>Bilješka 22.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</w:t>
            </w:r>
            <w:r>
              <w:rPr>
                <w:b/>
                <w:sz w:val="18"/>
              </w:rPr>
              <w:t>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3522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Subvencije trgovačkim društvima i zadrugama izvan javnog sektora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3522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1.078,36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2.448,75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227,1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2025. godini je veća cijena subvencioniranog prijevoza djece u odnosu na isto razdoblje 2024. godine. U </w:t>
      </w:r>
      <w:r>
        <w:t>2025. je također ubačena i procjena rashoda za 6/2025. (novo).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Tekuće pomoći drugom </w:t>
            </w:r>
            <w:r>
              <w:rPr>
                <w:sz w:val="18"/>
              </w:rPr>
              <w:t>proračunu i izvanproračunskim korisnicima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2.298,80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Prijenose korisnicima nismo imali u prvoj polovini 2025.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</w:t>
            </w:r>
            <w:r>
              <w:rPr>
                <w:b/>
                <w:sz w:val="18"/>
              </w:rPr>
              <w:t>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građanima i kućanstvima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24.231,94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37.415,26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154,4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2025. godini je iskazano povećanje naknade za pomoćnika u nastavi za dijete s poteškoćama u razvoju u odnosu na isto razdoblje </w:t>
      </w:r>
      <w:r>
        <w:t>2024. godine. Dinamika isplate za stipendije i školarine učenicima je različita u istim periodima 2024. i 2025. godine. U 2025. godini imamo mjeru za obitelji neupisane djece u vrtić za koju smo izdvojili 9.340,00 € dok isti trošak nismo imali u 2024. godi</w:t>
      </w:r>
      <w:r>
        <w:t>ni.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3811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3811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84.414,41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115.900,94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137,3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2025. godini smo </w:t>
      </w:r>
      <w:r>
        <w:t>prebacili sredstva Turističkoj zajednici Općine Postira za financiranje "Postirskog lita 2025." i ostalih manifestacija u iznosu od 15.000,00 €. Donacije Osnovnoj školi Postira su se utristručile u odnosu na 2024. godinu te smo financirali nabavu bicikli z</w:t>
      </w:r>
      <w:r>
        <w:t xml:space="preserve">a </w:t>
      </w:r>
      <w:r>
        <w:lastRenderedPageBreak/>
        <w:t>Biciklijadu 2025. u organizaciji Osnovne škole. Sufinanciranje DVD-a Supetar je u 2025. godini poraslo za cca 10.000,00 € u odnosu na isto razdoblje 2024. godine.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</w:t>
            </w:r>
            <w:r>
              <w:rPr>
                <w:b/>
                <w:sz w:val="18"/>
              </w:rPr>
              <w:t>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Zemljište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11.148,72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1.500,00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13,5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Smanjenje prihoda u 2025. godini u odnosu na isto razdoblje 2024. godine je vidljivo zbog smanjene prodaje grobnih parcela. U 2024. </w:t>
      </w:r>
      <w:r>
        <w:t>godini smo uprihodovali za 4 grobne parcele na mjesnom groblju u Postirama dok smo u 2025. godini uprihodovali za 2 grobne parcele na mjesnom groblju Dol. Cijena grobne parcele na mjesnom groblju Postira je značajno skuplja u odnosu na cijenu parcele na mj</w:t>
      </w:r>
      <w:r>
        <w:t>esnom groblju Dol.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Poslovni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6.675,00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8.359,90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125,2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2024. smo imali </w:t>
      </w:r>
      <w:r>
        <w:t>trošak obnove i uređenja tradicijske kuće Hrapoćuša i uznosu od 6.675,00 € dok su na istoj ulaganja u 2025. godini bila svega 923,65 €.  U 2025. godini smo imali ulaganje u renoviranje tržnice u Postira (nabavka zglobne tende) u iznosu od 7.436,25 € dok is</w:t>
      </w:r>
      <w:r>
        <w:t>ti trošak nismo imali u 2024. godini.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28.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Ceste, željeznice i ostali prometni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86.569,67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386.034,95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445,9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U 2025. godini smo imali kapitalno ulaganje u uređenje parkirališta s oborinskom vodom i rasvjetom u Postira u iznosu od 239.652,40 € kao i uređenje parkinga Zastivonje u iznosu od 18.555,00 €.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lastRenderedPageBreak/>
        <w:t>Bilješka 29.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rač. </w:t>
            </w:r>
            <w:r>
              <w:rPr>
                <w:b/>
                <w:sz w:val="18"/>
              </w:rPr>
              <w:t>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Ostali građevinski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60.342,32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31.132,43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51,6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U 2025. godini imamo smanjenje na ulaganju u Spomen </w:t>
      </w:r>
      <w:r>
        <w:t>park Blaženom Alojziju Stepincu za 40% u odnosu na isto razdoblje 2024. godine. U 2024. godini smo imali ulaganje u novu javnu rasvjetu u iznosu od 8.901,56 dok isti trošak u 2025. nismo imali.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30.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</w:t>
            </w:r>
            <w:r>
              <w:rPr>
                <w:b/>
                <w:sz w:val="18"/>
              </w:rPr>
              <w:t>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54.577,33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67.250,00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123,2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>U 2025. godini smo imali ulaganje u projektnu dokumentaciju javne rasvjete</w:t>
      </w:r>
      <w:r>
        <w:t xml:space="preserve"> u iznosu od 5.000,00 € dok isti trošak u 2024. nismo imali. Također smo imali povećanje na ostalim projektnim dokumentacijama za cca 6.500,00 € u odnosu na prethodnu godinu.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b/>
          <w:sz w:val="28"/>
        </w:rPr>
        <w:t>Izvještaj o obvezama</w:t>
      </w:r>
    </w:p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31.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83"/>
        <w:gridCol w:w="4008"/>
        <w:gridCol w:w="882"/>
        <w:gridCol w:w="2345"/>
        <w:gridCol w:w="882"/>
      </w:tblGrid>
      <w:tr w:rsidR="00187F1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187F12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187F1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Stanje dospjelih obveza na kraju izvještajnog razdoblja (šifre V008+D23+D24 + 'D dio 25,26' + D27)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V007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163.526,83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187F12" w:rsidRDefault="008F609C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187F12" w:rsidRDefault="00187F12">
      <w:pPr>
        <w:spacing w:after="0"/>
      </w:pPr>
    </w:p>
    <w:p w:rsidR="00187F12" w:rsidRDefault="008F609C">
      <w:pPr>
        <w:spacing w:line="240" w:lineRule="auto"/>
        <w:jc w:val="both"/>
      </w:pPr>
      <w:r>
        <w:t xml:space="preserve">Cijeli iznos ovih obveza odnosi se na obveze prema JP Vodovod za izgradnju vodovodnih i kanalizacijskih objekata - koje se </w:t>
      </w:r>
      <w:r>
        <w:t>plaćaju iz sredstava koja se prikupljaju na posebnom računu kod JP Vodovod, a predstavljaju određeni postotak na sve plaćene račune potrošene vode na području općine (donesena posebna Odluka o izdvojenim sredstvima). S obzirom da sakupljena sredstva nisu d</w:t>
      </w:r>
      <w:r>
        <w:t>ostatna za podmiru iznosa zaprimljenih računa za komunalno-vodne građevine, a primljeni su sa određenim rokom dospijeća, općina ne može utjecati na njihovo plaćanje.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32.</w:t>
      </w:r>
    </w:p>
    <w:p w:rsidR="00187F12" w:rsidRDefault="008F609C">
      <w:pPr>
        <w:spacing w:line="240" w:lineRule="auto"/>
        <w:jc w:val="both"/>
      </w:pPr>
      <w:r>
        <w:rPr>
          <w:b/>
        </w:rPr>
        <w:t>Manjak ili višak u poslovanju grupe i pregled strukture manjka/viška po pror</w:t>
      </w:r>
      <w:r>
        <w:rPr>
          <w:b/>
        </w:rPr>
        <w:t>ačunskim korisnicima</w:t>
      </w:r>
    </w:p>
    <w:p w:rsidR="00187F12" w:rsidRDefault="008F609C">
      <w:pPr>
        <w:spacing w:line="240" w:lineRule="auto"/>
        <w:jc w:val="both"/>
      </w:pPr>
      <w:r>
        <w:lastRenderedPageBreak/>
        <w:t>Općina Postira je u prvih šest mjeseci 2025. godine ostvarila ukupan prihod od +978.115,43 € i ukupan rashod od -1.346.890,02 € što za rezultat daje ukupan manjak od -368.774,59 €. Knjižnica (korisnik) je u prvih šest mjeseci 2025. god</w:t>
      </w:r>
      <w:r>
        <w:t>ine ostvarila ukupan prihod od +15.003,27 € i ukupan rashod od -8.377,34 € što za rezultat daje ukupan višak od +6.625,93 €. Dječji vrtić Grdelin (korisnik) je u prvih šest mjeseci 2025. godine ostvario ukupan prihod od+ 253.262,41 € i ukupan rashod od -25</w:t>
      </w:r>
      <w:r>
        <w:t>9.412,71 € što za rezultat daje ukupan manjak od -6.150,30 €. Ukupan rezultat u prvih šest mjeseci 2025. godine općine, knjižnice i vrtića je manjak od -368.298,96 €.</w:t>
      </w:r>
    </w:p>
    <w:p w:rsidR="00187F12" w:rsidRDefault="00187F12"/>
    <w:p w:rsidR="00187F12" w:rsidRDefault="008F609C">
      <w:pPr>
        <w:keepNext/>
        <w:spacing w:line="240" w:lineRule="auto"/>
        <w:jc w:val="center"/>
      </w:pPr>
      <w:r>
        <w:rPr>
          <w:sz w:val="28"/>
        </w:rPr>
        <w:t>Bilješka 33.</w:t>
      </w:r>
    </w:p>
    <w:p w:rsidR="00187F12" w:rsidRDefault="008F609C">
      <w:pPr>
        <w:spacing w:line="240" w:lineRule="auto"/>
        <w:jc w:val="both"/>
      </w:pPr>
      <w:r>
        <w:rPr>
          <w:b/>
        </w:rPr>
        <w:t>Unutargrupne transakcije koje su u izvještajima eliminirane</w:t>
      </w:r>
    </w:p>
    <w:p w:rsidR="00187F12" w:rsidRDefault="008F609C">
      <w:pPr>
        <w:spacing w:line="240" w:lineRule="auto"/>
        <w:jc w:val="both"/>
      </w:pPr>
      <w:r>
        <w:t>U ovoj bilješci</w:t>
      </w:r>
      <w:r>
        <w:t xml:space="preserve"> bi naveli samo grupu 3672 koja je eliminirana kao prijenos korisnicima knjižnici i vrtiću u ukupnom iznosu od 221.429,20 € za prvih šest mjeseci 2025. godine.</w:t>
      </w:r>
    </w:p>
    <w:p w:rsidR="00187F12" w:rsidRDefault="00187F12"/>
    <w:sectPr w:rsidR="00187F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87F12"/>
    <w:rsid w:val="00187F12"/>
    <w:rsid w:val="008F60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87F12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2871</Words>
  <Characters>16365</Characters>
  <Application>Microsoft Office Word</Application>
  <DocSecurity>0</DocSecurity>
  <Lines>136</Lines>
  <Paragraphs>38</Paragraphs>
  <ScaleCrop>false</ScaleCrop>
  <Company/>
  <LinksUpToDate>false</LinksUpToDate>
  <CharactersWithSpaces>19198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Postira-5</dc:creator>
  <cp:lastModifiedBy>Postira-5</cp:lastModifiedBy>
  <cp:revision>2</cp:revision>
  <cp:lastPrinted>2025-07-17T07:37:00Z</cp:lastPrinted>
  <dcterms:created xsi:type="dcterms:W3CDTF">2025-07-17T07:37:00Z</dcterms:created>
  <dcterms:modified xsi:type="dcterms:W3CDTF">2025-07-17T07:37:00Z</dcterms:modified>
</cp:coreProperties>
</file>