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00" w:type="dxa"/>
        <w:tblCellSpacing w:w="60" w:type="dxa"/>
        <w:tblInd w:w="120" w:type="dxa"/>
        <w:tblBorders>
          <w:top w:val="nil"/>
          <w:left w:val="nil"/>
          <w:bottom w:val="nil"/>
          <w:right w:val="nil"/>
          <w:insideH w:val="nil"/>
          <w:insideV w:val="nil"/>
        </w:tblBorders>
        <w:shd w:val="clear" w:color="auto" w:fill="E7F0F9"/>
        <w:tblCellMar>
          <w:left w:w="10" w:type="dxa"/>
          <w:right w:w="10" w:type="dxa"/>
        </w:tblCellMar>
        <w:tblLook w:val="0000"/>
      </w:tblPr>
      <w:tblGrid>
        <w:gridCol w:w="2254"/>
        <w:gridCol w:w="6746"/>
      </w:tblGrid>
      <w:tr w:rsidR="00D7508C">
        <w:tblPrEx>
          <w:tblCellMar>
            <w:top w:w="0" w:type="dxa"/>
            <w:bottom w:w="0" w:type="dxa"/>
          </w:tblCellMar>
        </w:tblPrEx>
        <w:trPr>
          <w:tblCellSpacing w:w="60" w:type="dxa"/>
        </w:trPr>
        <w:tc>
          <w:tcPr>
            <w:tcW w:w="1200" w:type="pct"/>
            <w:shd w:val="clear" w:color="auto" w:fill="E7F0F9"/>
          </w:tcPr>
          <w:p w:rsidR="00D7508C" w:rsidRDefault="0098345B">
            <w:pPr>
              <w:spacing w:after="0" w:line="240" w:lineRule="auto"/>
            </w:pPr>
            <w:r>
              <w:rPr>
                <w:b/>
              </w:rPr>
              <w:t>RKP broj</w:t>
            </w:r>
          </w:p>
        </w:tc>
        <w:tc>
          <w:tcPr>
            <w:tcW w:w="0" w:type="auto"/>
            <w:shd w:val="clear" w:color="auto" w:fill="E7F0F9"/>
          </w:tcPr>
          <w:p w:rsidR="00D7508C" w:rsidRDefault="0098345B">
            <w:pPr>
              <w:spacing w:after="0" w:line="240" w:lineRule="auto"/>
            </w:pPr>
            <w:r>
              <w:t>29951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tblCellSpacing w:w="60" w:type="dxa"/>
        </w:trPr>
        <w:tc>
          <w:tcPr>
            <w:tcW w:w="1200" w:type="pct"/>
            <w:shd w:val="clear" w:color="auto" w:fill="E7F0F9"/>
          </w:tcPr>
          <w:p w:rsidR="00D7508C" w:rsidRDefault="0098345B">
            <w:pPr>
              <w:spacing w:after="0" w:line="240" w:lineRule="auto"/>
            </w:pPr>
            <w:r>
              <w:rPr>
                <w:b/>
              </w:rPr>
              <w:t>Naziv obveznika</w:t>
            </w:r>
          </w:p>
        </w:tc>
        <w:tc>
          <w:tcPr>
            <w:tcW w:w="0" w:type="auto"/>
            <w:shd w:val="clear" w:color="auto" w:fill="E7F0F9"/>
          </w:tcPr>
          <w:p w:rsidR="00D7508C" w:rsidRDefault="0098345B">
            <w:pPr>
              <w:spacing w:after="0" w:line="240" w:lineRule="auto"/>
            </w:pPr>
            <w:r>
              <w:t>OPĆINA POSTIRA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tblCellSpacing w:w="60" w:type="dxa"/>
        </w:trPr>
        <w:tc>
          <w:tcPr>
            <w:tcW w:w="1200" w:type="pct"/>
            <w:shd w:val="clear" w:color="auto" w:fill="E7F0F9"/>
          </w:tcPr>
          <w:p w:rsidR="00D7508C" w:rsidRDefault="0098345B">
            <w:pPr>
              <w:spacing w:after="0" w:line="240" w:lineRule="auto"/>
            </w:pPr>
            <w:r>
              <w:rPr>
                <w:b/>
              </w:rPr>
              <w:t>Razina</w:t>
            </w:r>
          </w:p>
        </w:tc>
        <w:tc>
          <w:tcPr>
            <w:tcW w:w="0" w:type="auto"/>
            <w:shd w:val="clear" w:color="auto" w:fill="E7F0F9"/>
          </w:tcPr>
          <w:p w:rsidR="00D7508C" w:rsidRDefault="0098345B">
            <w:pPr>
              <w:spacing w:after="0" w:line="240" w:lineRule="auto"/>
            </w:pPr>
            <w:r>
              <w:t>22</w:t>
            </w:r>
          </w:p>
        </w:tc>
      </w:tr>
    </w:tbl>
    <w:p w:rsidR="00D7508C" w:rsidRDefault="0098345B">
      <w:r>
        <w:br/>
      </w:r>
    </w:p>
    <w:p w:rsidR="00D7508C" w:rsidRDefault="0098345B">
      <w:pPr>
        <w:spacing w:line="240" w:lineRule="auto"/>
        <w:jc w:val="center"/>
      </w:pPr>
      <w:r>
        <w:rPr>
          <w:b/>
          <w:sz w:val="28"/>
        </w:rPr>
        <w:t>BILJEŠKE UZ FINANCIJSKE IZVJEŠTAJE</w:t>
      </w:r>
    </w:p>
    <w:p w:rsidR="00D7508C" w:rsidRDefault="0098345B">
      <w:pPr>
        <w:spacing w:line="240" w:lineRule="auto"/>
        <w:jc w:val="center"/>
      </w:pPr>
      <w:r>
        <w:rPr>
          <w:b/>
          <w:sz w:val="28"/>
        </w:rPr>
        <w:t>ZA RAZDOBLJE</w:t>
      </w:r>
    </w:p>
    <w:p w:rsidR="00D7508C" w:rsidRDefault="0098345B">
      <w:pPr>
        <w:spacing w:line="240" w:lineRule="auto"/>
        <w:jc w:val="center"/>
      </w:pPr>
      <w:r>
        <w:rPr>
          <w:b/>
          <w:sz w:val="28"/>
        </w:rPr>
        <w:t>I - XII 2025.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b/>
          <w:sz w:val="28"/>
        </w:rPr>
        <w:t>Izvještaj o prihodima i rashodima, primicima i izdacima</w:t>
      </w:r>
    </w:p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1.</w:t>
      </w:r>
    </w:p>
    <w:tbl>
      <w:tblPr>
        <w:tblW w:w="0" w:type="auto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 xml:space="preserve">Ostvareno u izvještajnom </w:t>
            </w:r>
            <w:r>
              <w:rPr>
                <w:b/>
                <w:sz w:val="18"/>
              </w:rPr>
              <w:t>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PRIHODI POSLOVANJA (šifre 61+62+63+64+65+66+67+68)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2.252.933,30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2.171.604,31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96,4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RASHODI POSLOVANJA (šifre 31+32+34+35+36+37+38)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1.361.663,68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1.687.765,03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123,9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D7508C">
            <w:pPr>
              <w:keepNext/>
              <w:keepLines/>
              <w:spacing w:after="0" w:line="240" w:lineRule="auto"/>
            </w:pP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VIŠAK PRIHODA POSLOVANJA (šifre 6-Z005)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X001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891.269,62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483.839,28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54,3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7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Prihodi od prodaje nefinancijske imovine (šifre 71+72+73+74)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7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11.288,72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2.773,92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24,6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Rashodi za nabavu nefinancijske imovine (šifre 41+42+43+44+45)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654.301,20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979.659,47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149,7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D7508C">
            <w:pPr>
              <w:keepNext/>
              <w:keepLines/>
              <w:spacing w:after="0" w:line="240" w:lineRule="auto"/>
            </w:pP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MANJAK PRIHODA OD NEFINANCIJSKE IMOVINE (šifre 4-7)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Y002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643.012,48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976.885,55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151,9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8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Primici od financijske imovine i zaduživanja (šifre 81+82+83+84+85)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8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-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5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 xml:space="preserve">Izdaci za financijsku imovinu i otplate zajmova (šifre </w:t>
            </w:r>
            <w:r>
              <w:rPr>
                <w:sz w:val="18"/>
              </w:rPr>
              <w:t>51+52+53+54+55)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5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-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D7508C">
            <w:pPr>
              <w:keepNext/>
              <w:keepLines/>
              <w:spacing w:after="0" w:line="240" w:lineRule="auto"/>
            </w:pP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VIŠAK/MANJAK PRIMITAKA OD FINANCIJSKE IMOVINE I ZADUŽIVANJA (šifre 8-5, 5-8)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X003, Y003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-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D7508C">
            <w:pPr>
              <w:keepNext/>
              <w:keepLines/>
              <w:spacing w:after="0" w:line="240" w:lineRule="auto"/>
            </w:pP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MANJAK PRIHODA I PRIMITAKA (šifre Y345-X678)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Y005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493.046,27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-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2025.god.općina Postira ostvarila je ukupne prihode od 2.174.378,23 € i ukupne rashode u iznosu od 2.667.424,50 € što daje  ukupno ostvareni  rezultat poslovanja za 2025.god.,a to je manjak u  iznosu od  493.046,27 €, koji  s prenesenim viškom prihoda iz</w:t>
      </w:r>
      <w:r>
        <w:t xml:space="preserve"> prethodne godine od 686.061,66 €  iznosi ukupno 193.015,40 €.  Ukupno ostvareni manjak u 2025.g. iskazan je u obrascu PR-RAS po kategorijama gdje je vidljivo da ga čini ostvareni višak prihoda </w:t>
      </w:r>
      <w:r>
        <w:lastRenderedPageBreak/>
        <w:t>poslovanja u iznosu od 483.839,28 € i manjak prihoda od nefina</w:t>
      </w:r>
      <w:r>
        <w:t>ncijske imovine u iznosu od -976.885,55 €.</w:t>
      </w:r>
    </w:p>
    <w:p w:rsidR="00D7508C" w:rsidRDefault="0098345B">
      <w:r>
        <w:br/>
      </w:r>
    </w:p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2.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6131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 xml:space="preserve">Stalni porezi na nepokretnu imovinu </w:t>
            </w:r>
            <w:r>
              <w:rPr>
                <w:sz w:val="18"/>
              </w:rPr>
              <w:t>(zemlju, zgrade, kuće i ostalo)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6131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149.014,40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100.006,65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67,1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2025. godini je ukinut porez na kuće za odmor.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3.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 xml:space="preserve">Ostvareno u izvještajnom razdoblju </w:t>
            </w:r>
            <w:r>
              <w:rPr>
                <w:b/>
                <w:sz w:val="18"/>
              </w:rPr>
              <w:t>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6134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Povremeni porezi na imovinu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6134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234.750,73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166.569,37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71,0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2025. godini je bilo manje kupoprodajnih ugovora pa time i manje prihoda u odnosu na 2024. godinu.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4.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</w:t>
            </w:r>
            <w:r>
              <w:rPr>
                <w:b/>
                <w:sz w:val="18"/>
              </w:rPr>
              <w:t xml:space="preserve">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6331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Tekuće pomoći proračunu i izvanproračunskim korisnicima iz drugih proračuna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6331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38.700,63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63.130,77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163,1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 xml:space="preserve">U 2024.g. sredstva dobivena za fiskalnu održivost (za dječji vrtić) općina je knjižila na kontu 6361 u iznosu od 39.708,00 te ih u tijeku iste godine prenijela Dječjem vrtiću za podmirenje dijela rashoda za zaposlene. U 2025.god. ista sredstva proknjižena </w:t>
      </w:r>
      <w:r>
        <w:t>su  na kontu 6331 kao tekuća pomoć općini za podmirenje rashoda našeg korisnika dv, što ona zapravo i jesu, a dobivena su u iznosu od 41.400,00. </w:t>
      </w:r>
    </w:p>
    <w:p w:rsidR="00D7508C" w:rsidRDefault="0098345B">
      <w:r>
        <w:t>Istu stavku tekućih pomoći povećali su iznosi Min kulture za arheološki nalaz Mirje  sa 6920,63 na 15.000,00 ,</w:t>
      </w:r>
      <w:r>
        <w:t xml:space="preserve"> kao i refundacija troškova lokalnih izbora od strane SDŽ  u iznosu od 5.783,77 .</w:t>
      </w:r>
    </w:p>
    <w:p w:rsidR="00D7508C" w:rsidRDefault="0098345B">
      <w:r>
        <w:t> 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5.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6332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Kapitalne pomoći proračunu i izvanproračunskim korisnicima iz drugih proračuna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6332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178.336,14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217.363,98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121,9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2025. godini  smo primili 30.000,00 € kapitalnu pomoć SDŽ-a za nerazvrtane ceste i 33.000,00 € kapitanu pomoć SDŽ-a za nova parkirališta.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6.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6361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Tekuće pomoći proračunskim korisnicima iz proračuna koji im nije nadležan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6361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40.082,40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 xml:space="preserve">U 2024.g. sredstva dobivena za fiskalnu održivost (za dječji vrtić) općina je knjižila na kontu 6361 u iznosu od 39.708,00 te ih u tijeku iste godine prenijela Dječjem vrtiću za podmirenje dijela rashoda za zaposlene. U 2025.god. ista sredstva proknjižena </w:t>
      </w:r>
      <w:r>
        <w:t>su  na kontu 6331 kao tekuća pomoć općini za podmirenje rashoda našeg korisnika dv, što ona zapravo i jesu, a dobivena su u iznosu od 41.400,00. 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7.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</w:t>
            </w:r>
            <w:r>
              <w:rPr>
                <w:b/>
                <w:sz w:val="18"/>
              </w:rPr>
              <w:t>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6512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Županijske, gradske i općinske pristojbe i naknade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6512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54.274,11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73.680,65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135,8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2025. godini smo imali povećanje izdvojenih namjenskih sredstava Vodovoda za 19.406,54 €.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8.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</w:t>
            </w:r>
            <w:r>
              <w:rPr>
                <w:b/>
                <w:sz w:val="18"/>
              </w:rPr>
              <w:t xml:space="preserve">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6531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Komunalni doprinosi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6531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63.672,96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86.379,42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135,7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lastRenderedPageBreak/>
        <w:t>Uplate po Rješenjima za komunalni doprinos sa kraja 2024. godine su se ostvarile početkom 2025. godine.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9.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6532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Komunalne naknade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6532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194.222,47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169.599,54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87,3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2025. godini jedan hotel nije izvršio uplatu u dospijeću (cca 20.000,00 €).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10.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6632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Kapitalne donacije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6632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39.992,93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21.734,38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54,3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2024. godini smo primili kapitalnu donaciju fizičke osobe u iznosu od 5.000,00 € dok istu nismo imali u 2025. godini. U 2024. godini smo primili kapitalnu donaciju trgovačkog društva Kamgrad u iznosu od 34.992,93 € za izgradnju spomenika blaženog Alojzij</w:t>
      </w:r>
      <w:r>
        <w:t>a Stepinca dok smo za istu namjenu u 2025. godini primili kapitalnu donaciju od 21.734,38 € trgovačkog društva Berica d.o.o..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11.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</w:t>
            </w:r>
            <w:r>
              <w:rPr>
                <w:b/>
                <w:sz w:val="18"/>
              </w:rPr>
              <w:t>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683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Ostali prihodi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683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29.977,43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2024. godini smo imali prihod od nasljedstva pok. Šantić Antuna.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lastRenderedPageBreak/>
        <w:t>Bilješka 12.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3111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Plaće za redovan rad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3111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201.186,42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280.728,25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139,5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2025. godini je porasla vrijednost osnovice za obračun plaća, a i izborom novog načelnika smo imali povećanje za jednu plaću (kroz pola godine).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13.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</w:t>
            </w:r>
            <w:r>
              <w:rPr>
                <w:b/>
                <w:sz w:val="18"/>
              </w:rPr>
              <w:t>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3132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Doprinosi za obvezno zdravstveno osiguranje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3132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33.195,84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46.320,20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139,5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2025. godini je porasla vrijednost osnovice za obračun  plaće, a i izborom novog načelnika smo imali povećanje za jednu plaću (kroz pola godine).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14.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</w:t>
            </w:r>
            <w:r>
              <w:rPr>
                <w:b/>
                <w:sz w:val="18"/>
              </w:rPr>
              <w:t>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3224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Materijal i dijelovi za tekuće i investicijsko održavanje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3224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31.670,59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45.727,87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144,4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2025. g. imali smo dva razloga za  povećanje iskazanih rashoda, a to su:- održavanje javne rasvjete za cca 3.200,00 €,zbog povećanog broja rasvjetnih tijela, a drugo povećanje odnosi se na  materijal za održavanje parkova i nasada sa 11.240,03 € na 22.84</w:t>
      </w:r>
      <w:r>
        <w:t>1,95 €, nabavljene nove sadnice , povećana površina parkova s obzirom na 2024.g.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15.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3234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Komunalne usluge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64.660,84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106.470,70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164,7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2024. godini  smo na opskrbu vodom za javne površine utrošili 22.703,05 € dok za isto u 2025. godini  36.362,35 €., zbog povećanja površina koje treba navodnjavati .Za skupljanje i odvoz smeća u 2024. godini smo utrošili 28.863,73 € dok za isto u 2025. g</w:t>
      </w:r>
      <w:r>
        <w:t xml:space="preserve">odini 47.688,12 € , </w:t>
      </w:r>
      <w:r>
        <w:lastRenderedPageBreak/>
        <w:t>jer ne možemo utjecati na cijenu prikupljanja i odvoza smeća koju određuje Michielli-Tomić d.o.o koji vrši uslugu.</w:t>
      </w:r>
    </w:p>
    <w:p w:rsidR="00D7508C" w:rsidRDefault="0098345B">
      <w:r>
        <w:t> Pogrebne usluge obavljene u 2024. smo isplatili početkom 2025. godine.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16.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</w:t>
            </w:r>
            <w:r>
              <w:rPr>
                <w:b/>
                <w:sz w:val="18"/>
              </w:rPr>
              <w:t>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3235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Zakupnine i najamnine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3235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750,00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11.863,50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1581,8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2025. godini smo uzeli u najam manji kamion za potrebe komunale u iznosu od 11.113,50 €.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17.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3239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Ostale usluge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3239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31.261,42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42.896,75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137,2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Za ubiranje lučkih naknada u luci Postira smo u 2025. godini izdvojili više za 5.307,24 € u odnosu na 2024. godinu te smo imali veći trošak za naplatu Porezne uprave koja je ovlaštena za ubiranje općinskih poreza.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18.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</w:t>
            </w:r>
            <w:r>
              <w:rPr>
                <w:b/>
                <w:sz w:val="18"/>
              </w:rPr>
              <w:t>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3291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Naknade za rad predstavničkih i izvršnih tijela, povjerenstava i slično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3291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13.245,62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-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2025. godini smo imali isplaćene naknade članovima povjerenstava za izbore, kojih u 2024. nije bilo.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lastRenderedPageBreak/>
        <w:t>Bilješka 19.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3292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Premije osiguranja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3292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2.006,43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4.097,75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204,2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Radi se o dinamici slanja računa naših dobavljača. U 2025. godini smo primili račun za premiju u prvi mjesec za tekuću godinu te u dvanaesti mjesec za sljedeću godinu.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20.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 xml:space="preserve">Račun </w:t>
            </w:r>
            <w:r>
              <w:rPr>
                <w:b/>
                <w:sz w:val="18"/>
              </w:rPr>
              <w:t>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3293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Reprezentacija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3293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35.818,32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20.608,28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57,5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2024. godini smo imali ulaganje u promidžbu putem emisije Coolturist u iznosu od 10.070,00 €, a vezano uz promociju mjesta.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21.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</w:t>
            </w:r>
            <w:r>
              <w:rPr>
                <w:b/>
                <w:sz w:val="18"/>
              </w:rPr>
              <w:t>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3631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Tekuće pomoći drugom proračunu i izvanproračunskim korisnicima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3631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39.698,80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947,00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2,4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2024. godini smo imali prijenos našem korisniku (dječju vrtić Grdelin) sredstava za fiskalnu održivost u iznosu od 37.166,00 € ,dok  smo u  2025. godini ista sredstva (za fiskalnu održivost) utrošili namjenski za rashodeza zaposlene u Dv grdelin, ali  ni</w:t>
      </w:r>
      <w:r>
        <w:t>smo izvršili transakciju prijenosa sredstava nego je to vidljivo u izvorima financiranja gdje je općina prikazala da je dio rashoda za zaposlene za dv financirala iz izvora 5-pomoći.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22.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 xml:space="preserve">Ostvareno u </w:t>
            </w:r>
            <w:r>
              <w:rPr>
                <w:b/>
                <w:sz w:val="18"/>
              </w:rPr>
              <w:t>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3672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Prijenosi proračunskim korisnicima iz nadležnog proračuna za financiranje rashoda poslovanja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3672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341.456,90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467.439,39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136,9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lastRenderedPageBreak/>
        <w:t>U 2025. godini smo imali veća izdvajanja za naše korisnike (Dječji vrtić Grdelin i Općinska knjižnica Ivan Matij Škarić) za 114.135,98 €. Najveći dio povećanja ove rashodovne stavke u 2025.g.odnosi se na korisnika Dječji vrtić Grdelin i to uglavnom na rash</w:t>
      </w:r>
      <w:r>
        <w:t>ode za zaposlene, djelomično zbog rasta osnovice za obračun plaća, a dijelom zbog stalnih zamjena djelatnika koji su koristili  bolovanja na teret vrtića, kad se isplaćuje plaća i djelatniku koji je na bolovanju kao i onome tko ga mijenja.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23.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</w:t>
            </w:r>
            <w:r>
              <w:rPr>
                <w:b/>
                <w:sz w:val="18"/>
              </w:rPr>
              <w:t>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3721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Naknade građanima i kućanstvima u novcu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3721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45.075,10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88.182,23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195,6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 xml:space="preserve">U 2025. godini smo imali povećanje za djecu s posebnim potrebama (pomoćnik u nastavi) za cca 6.000,00 €. U 2025. godini smo isplatili božićnice umirovljenicima u iznosu od 22.600,00 €, rodiljne naknade su se povećale za cca 4.500,00 € te smo imali u prvoj </w:t>
      </w:r>
      <w:r>
        <w:t>polovini 2025. godine izdvajanja za pomoć roditeljima neupisan e djece u vrtić u iznosu od 12.540,00 €.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24.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7111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Zemljište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7111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11.148,72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2.000,00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17,9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2024. godini smo imali prodaju grobnih parcela dok u 2025. je prihod od istih ostvaren znatno manji.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25.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 xml:space="preserve">Ostvareno u izvještajnom razdoblju </w:t>
            </w:r>
            <w:r>
              <w:rPr>
                <w:b/>
                <w:sz w:val="18"/>
              </w:rPr>
              <w:t>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4213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Ceste, željeznice i ostali prometni objekti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4213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144.210,30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572.373,98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396,9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2024. godini smo imali ulaganje u nerazvrstanu cestu Mala Lozna u iznosu od cca 25.000,00 € dok je isto ulaganje nastavljeno u 2025. i ostvareno je u iznosu od 82.500,00 €. U 2025. godini smo imali kapitalno ulaganje u parking kraj ŠRC u iznosu od 374.84</w:t>
      </w:r>
      <w:r>
        <w:t>4,41 € te ulaganje u parking Zastivonje u iznosu od 18.555,00 €.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26.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4214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 xml:space="preserve">Ostali građevinski </w:t>
            </w:r>
            <w:r>
              <w:rPr>
                <w:sz w:val="18"/>
              </w:rPr>
              <w:t>objekti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4214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145.692,12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36.468,05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25,0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 xml:space="preserve">U 2024. godini smo imali ulaganje u rampu za invalide (za ulazak u more) u iznosu od 24.412,05 € dok isto nismo imali u 2025. godini. Ulaganje u spomenik blaženom Alojziju Stepincu smo imali u 2024. godini 86.132,05 € dok u 2025. je nastavljeno i iznosilo </w:t>
      </w:r>
      <w:r>
        <w:t>je 36.088,05 €. U 2024. godini smo imali ulaganje i u bistu don Juraj Gospodnetić u iznosu od 9.477,71 €.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27.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</w:t>
            </w:r>
            <w:r>
              <w:rPr>
                <w:b/>
                <w:sz w:val="18"/>
              </w:rPr>
              <w:t>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4224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Medicinska i laboratorijska oprema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4224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7.218,06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-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2025. godini je nabavljena laboratorijska oprema za abulantu Postira u iznosu od 7.218,06. Radi se o uređajima: Microsemi  CRP uređaj, EKG uređaj edan SE601B, Defibrilator AED A112 te  uređaj za terapiju kisikom i dozator kisika.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28.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</w:t>
            </w:r>
            <w:r>
              <w:rPr>
                <w:b/>
                <w:sz w:val="18"/>
              </w:rPr>
              <w:t>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4231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Prijevozna sredstva u cestovnom prometu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4231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14.990,00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-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2025. godini smo nabavili manji kamion za potrebe komunale jer nam je stari dotrajao i nije više za upotrebu.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lastRenderedPageBreak/>
        <w:t>Bilješka 29.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</w:t>
            </w:r>
            <w:r>
              <w:rPr>
                <w:b/>
                <w:sz w:val="18"/>
              </w:rPr>
              <w:t>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4263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Umjetnička, literarna i znanstvena djela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4263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86.102,33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108.062,50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125,5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2025. godini smo imali ulaganje za dokumentaciju za javnu rasvjetu u iznosu od 5.000,00 € te na je trošak izrade projektne dokumentacije porastao za cca 25.000,00 €.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b/>
          <w:sz w:val="28"/>
        </w:rPr>
        <w:t>Bilanca</w:t>
      </w:r>
    </w:p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30.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1. siječnja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31</w:t>
            </w:r>
            <w:r>
              <w:rPr>
                <w:b/>
                <w:sz w:val="18"/>
              </w:rPr>
              <w:t>. prosinca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0231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Prijevozna sredstva u cestovnom prometu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0231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12.940,47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27.930,47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215,8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2025. smo imali nabavku manjeg kamiona za potrebe komunale u iznosu od 14.990,00 €.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31.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 xml:space="preserve">Stanje 1. </w:t>
            </w:r>
            <w:r>
              <w:rPr>
                <w:b/>
                <w:sz w:val="18"/>
              </w:rPr>
              <w:t>siječnja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31. prosinca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0263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Umjetnička, literarna i znanstvena djela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0263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714.786,26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822.848,76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115,1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2025. godini smo imali ulaganje u projektnu dokumentaciju javne rasvjete u iznosu od 5.000,00 € te ulaganje u razne dokumente, studije i planove od 100.562,50 € te u UPU-e od 2.500,00 €.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32.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1. siječ</w:t>
            </w:r>
            <w:r>
              <w:rPr>
                <w:b/>
                <w:sz w:val="18"/>
              </w:rPr>
              <w:t>nja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31. prosinca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051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Građevinski objekti u pripremi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051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790.914,23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1.066.158,60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134,8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2025. godini smo imali ulaganja u: salu za ispraćaj groblja Dol u iznosu od 56.573,76 €, tradicijska kuća Hrapaćuša Dol u iznosu od 21.197,14€, cesta Mala Lozna u iznosu od 133.355,85 € te CS Sardina u iznosu od 134.813,73 €.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33.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 xml:space="preserve">Račun iz rač. </w:t>
            </w:r>
            <w:r>
              <w:rPr>
                <w:b/>
                <w:sz w:val="18"/>
              </w:rPr>
              <w:t>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1. siječnja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31. prosinca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1112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Novac na računu kod tuzemnih poslovnih banaka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1112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833.075,84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434.295,05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52,1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2025. godini smo imali manji priljev i veći odljev sa žiro računa u odnosu na 2024. godinu.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34.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1. siječnja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31. prosinca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161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Potraživanja za poreze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161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85.311,09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170.091,37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199,4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Na rezredu 16131 ukinut je porez na kuće za odmor, a za dio novog poreza na nekretnine nisu izdana Rješenja te tako ni naplaćena. Na razredu 16134 bilo je manje kuprpprodajnih ugovora u odnosu na prethodnu godinu.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35.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 xml:space="preserve">Opis </w:t>
            </w:r>
            <w:r>
              <w:rPr>
                <w:b/>
                <w:sz w:val="18"/>
              </w:rPr>
              <w:t>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1. siječnja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31. prosinca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165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Potraživanja za upravne i administrativne pristojbe, pristojbe po posebnim propisima i naknade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165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238.762,93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182.345,73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76,4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2025. smo imali manje izdanih Rješenja za komunalni doprinos u odnosu na 2024. godinu. 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36.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1. siječnja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31. prosinca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231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Obveze za zaposlene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231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26,79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21.956,63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&gt;&gt;100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Izvještaj za 2025. godinu je ušla plaća za dvanaesti mjesec 2025. godine.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lastRenderedPageBreak/>
        <w:t>Bilješka 37.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1. siječnja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31. prosinca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232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Obveze za materijalne rashode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232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9.252,06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17.772,48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192,1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Izvještaj za 2025. godinu su zaprimljeni računi za dvanaesti mjesec 2025. godine.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38.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1. siječnja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31. prosinca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242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Obveze za nabavu proizvedene dugotrajne imovine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242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1.996,19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10.887,72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545,4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2025. godini je evidentirana obveza za poljski put u iznosu od 3.140,00 €, anji kamion za potrebe komunale u iznosu od 4.990,00 € te račun za projektnu dokumentaciju u iznosu od 2.475,00 €.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39.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1. siječnja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31. prosinca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245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Obveze za dodatna ulaganja na nefinancijskoj imovini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245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140.557,48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191.382,62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136,2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2025. godini imamo zaprimljene Zahtjeve Vodovoda za CS Sardina i tlačni cjevovod u ukupnom iznosu od 134.813,73 €. Na istoj stavci imamo i prethodno otvoreno saldo koje se zatvara iz namjenskih sredstava Vodovoda.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40.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</w:t>
            </w:r>
            <w:r>
              <w:rPr>
                <w:b/>
                <w:sz w:val="18"/>
              </w:rPr>
              <w:t>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1. siječnja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31. prosinca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92211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Višak prihoda poslovanja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92211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686.061,67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865.396,05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126,1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Iskazani višak prihoda poslovanja u obrascu Bil iskazan je u iznosu od  865.396,05 a kada se od istoga oduzme preneseni višak prihoda poslovanja od 686.061,67 ostaje iznos viška prih.poslovanja od 179.334,38 . Kako je u obrascu PR-RAS iskazan višak prihoda</w:t>
      </w:r>
      <w:r>
        <w:t xml:space="preserve"> poslovanja za 2025.g. u iznosu od 483.839,28 treba napomenuti da je razlika nastala zbog proknjižene </w:t>
      </w:r>
      <w:r>
        <w:lastRenderedPageBreak/>
        <w:t>obvezne korekcije rezultata u iznosu od 304.504,90 , koja je smanjila iznos VP poslovanja u obrascu Bil i istovremeno smanjila i iznos ostvarenog manjak p</w:t>
      </w:r>
      <w:r>
        <w:t>rihoda od nefinancijske imovine.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41.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1. siječnja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31. prosinca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92222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Manjak prihoda od nefinancijske imovine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92222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672.380,65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-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Iskazani manjak prihoda od nefinanc,imovine u obrascu Bil iskazan je u iznosu od  672.380,65  . Kako je u obrascu PR-RAS iskazan manjak prihoda od nefinanc.imovine  za 2025.g. u iznosu od 976.885,55 treba napomenuti da je razlika nastala zbog proknjižene o</w:t>
      </w:r>
      <w:r>
        <w:t>bvezne korekcije rezultata u iznosu od 304.504,90 , koja je smanjila iznos VP poslovanja u obrascu Bil i istovremeno smanjila i iznos ostvarenog manjak prihoda od nefinancijske imovine.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42.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1. siječnja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31. prosinca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961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Obračunati prihodi od poreza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961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54.636,81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102.229,29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187,1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2025. godini se većim dijelom radi o novouvedenom porezu na nekretnine. Dio Rješenja je Porezna uprava (koja vrši izdavanje za Općinu) izdala pred kraj godine pa dio nije ni naplaćen u 2025.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43.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1. s</w:t>
            </w:r>
            <w:r>
              <w:rPr>
                <w:b/>
                <w:sz w:val="18"/>
              </w:rPr>
              <w:t>iječnja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31. prosinca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965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Obračunati prihodi od upravnih i administrativnih pristojbi, pristojbi po posebnim propisima i naknada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965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54.344,62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23.542,48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43,3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Radi se o nenaplaćenom prihodu od komunalne naknade, a koji je vidljiv i na grupi konta 16 u potraživanjima.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lastRenderedPageBreak/>
        <w:t>Bilješka 44.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1. siječnja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31. prosinca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27212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Obveze za jamčevne pologe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27212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8.600,00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-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2025. godini smo primili jamstvo za ozbiljnost ponude u iznosu od 8.600,00 €.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45.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1. siječnja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Stanje 31. prosinca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99641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Instrumenti osiguranja plaćanja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99641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107.240,22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103.827,72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96,8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Saldo iskazan na izvanbilančnim evidencijama  iznos od 103.827,72 sastoji se od slijedećega:</w:t>
      </w:r>
    </w:p>
    <w:p w:rsidR="00D7508C" w:rsidRDefault="0098345B">
      <w:r>
        <w:t>Instrumenti osiguranja plaćanja:</w:t>
      </w:r>
    </w:p>
    <w:p w:rsidR="00D7508C" w:rsidRDefault="0098345B">
      <w:r>
        <w:t>-primljena zadužnica MRRFE u 25. ( za parking)   iznos 75.000,00 , te zadužnica MRRFE iz 23.g.  iznos  od 50.700,00 -       ukupno dugovno  125.700,00</w:t>
      </w:r>
    </w:p>
    <w:p w:rsidR="00D7508C" w:rsidRDefault="0098345B">
      <w:r>
        <w:t>-Izdana zadužnica -dužnik Šport.centar Brač iznos  13.272,28, izdano jamstvo za kuću Hrapoćuša iznos 8.60</w:t>
      </w:r>
      <w:r>
        <w:t>0,00   -        ukupno potražno     21.872,28</w:t>
      </w:r>
    </w:p>
    <w:p w:rsidR="00D7508C" w:rsidRDefault="0098345B">
      <w:r>
        <w:t>Općina nije imala aktivne  sudske  sporove u 2025.god.</w:t>
      </w:r>
    </w:p>
    <w:p w:rsidR="00D7508C" w:rsidRDefault="0098345B">
      <w:r>
        <w:t> 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b/>
          <w:sz w:val="28"/>
        </w:rPr>
        <w:t>Izvještaj o rashodima prema funkcijskoj klasifikaciji</w:t>
      </w:r>
    </w:p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46.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 xml:space="preserve">Ostvareno u izvještajnom razdoblju prethodne </w:t>
            </w:r>
            <w:r>
              <w:rPr>
                <w:b/>
                <w:sz w:val="18"/>
              </w:rPr>
              <w:t>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062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Razvoj zajednice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062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119.168,66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627.253,96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526,4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Znatno povećano ulaganje u funkcijsku klasifikaciju Razvoj zajednice (indeks 526,4) usljedilo je zbog gradnje nove nerazvrstane ceste Mala Lozna u iznosu od 82.630,82 kao i uređenje parkinga u centru koji je bio makadamski a u 2025. je asfaltiran kao i pro</w:t>
      </w:r>
      <w:r>
        <w:t>vedena javna rasvjeta u ukupnom iznosu od 374.844,41. Napominjemo da ranije navedenih ulaganja u ceste i parkinge u tijeku 2024.g. nije bilo.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47.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 xml:space="preserve">Ostvareno </w:t>
            </w:r>
            <w:r>
              <w:rPr>
                <w:b/>
                <w:sz w:val="18"/>
              </w:rPr>
              <w:t>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104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Obitelj i djeca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104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19.853,48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70.557,23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355,4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 2025.g. temeljem Odluke vijeća isplaćene su sim umirovljenicima Božićnice u ukupnom iznosu od 22.600,00 , zatim stavku je povećo i iznos sufinanciranja asistenta u nastavi  koja je u 2025.g. iznosila 14.480,53, a uvedena je u 2025.g. i nova mjera -naknad</w:t>
      </w:r>
      <w:r>
        <w:t>a roditeljima za djecu koja nisu bila upisana u dječji vrtić a isplaćeno je ukupno 12.540,00.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b/>
          <w:sz w:val="28"/>
        </w:rPr>
        <w:t>Promjene u vrijednosti i obujmu imovine i obveza</w:t>
      </w:r>
    </w:p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48.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700"/>
        <w:gridCol w:w="3180"/>
        <w:gridCol w:w="700"/>
        <w:gridCol w:w="1860"/>
        <w:gridCol w:w="1860"/>
        <w:gridCol w:w="700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Iznos povećanja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Iznos smanjenja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91512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 xml:space="preserve">Promjene u </w:t>
            </w:r>
            <w:r>
              <w:rPr>
                <w:sz w:val="18"/>
              </w:rPr>
              <w:t>obujmu imovine (šifre P016+P023)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91512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282.092,15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-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Ukupni iznos smanjenja obujma imovine u 2025.god. u iznosu od 282.092,15 odnosi se na - provedeni ispravak vrijednosti imovine za 2025.g. u iznosu od 276.121,74 i od isknjiženja laboratorijske opre</w:t>
      </w:r>
      <w:r>
        <w:t>me koja je nabavljena za ambulantu Postira a koju će Dom zdravlja SDŽ preuzeti kao svoju imovinu čija sadašnja vrijednost iznosi 5.970,41 .</w:t>
      </w:r>
    </w:p>
    <w:p w:rsidR="00D7508C" w:rsidRDefault="00D7508C"/>
    <w:p w:rsidR="00D7508C" w:rsidRDefault="0098345B">
      <w:pPr>
        <w:keepNext/>
        <w:spacing w:line="240" w:lineRule="auto"/>
        <w:jc w:val="center"/>
      </w:pPr>
      <w:r>
        <w:rPr>
          <w:b/>
          <w:sz w:val="28"/>
        </w:rPr>
        <w:t>Izvještaj o obvezama</w:t>
      </w:r>
    </w:p>
    <w:p w:rsidR="00D7508C" w:rsidRDefault="0098345B">
      <w:pPr>
        <w:keepNext/>
        <w:spacing w:line="240" w:lineRule="auto"/>
        <w:jc w:val="center"/>
      </w:pPr>
      <w:r>
        <w:rPr>
          <w:sz w:val="28"/>
        </w:rPr>
        <w:t>Bilješka 49.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83"/>
        <w:gridCol w:w="4008"/>
        <w:gridCol w:w="882"/>
        <w:gridCol w:w="2345"/>
        <w:gridCol w:w="882"/>
      </w:tblGrid>
      <w:tr w:rsidR="00D7508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Iznos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7508C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D7508C">
            <w:pPr>
              <w:keepNext/>
              <w:keepLines/>
              <w:spacing w:after="0" w:line="240" w:lineRule="auto"/>
            </w:pP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 xml:space="preserve">Stanje dospjelih obveza </w:t>
            </w:r>
            <w:r>
              <w:rPr>
                <w:sz w:val="18"/>
              </w:rPr>
              <w:t>na kraju izvještajnog razdoblja (šifre V008+D23+D24 + 'D dio 25,26' + D27)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V007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194.137,84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:rsidR="00D7508C" w:rsidRDefault="0098345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-</w:t>
            </w:r>
          </w:p>
        </w:tc>
      </w:tr>
    </w:tbl>
    <w:p w:rsidR="00D7508C" w:rsidRDefault="00D7508C">
      <w:pPr>
        <w:spacing w:after="0"/>
      </w:pPr>
    </w:p>
    <w:p w:rsidR="00D7508C" w:rsidRDefault="0098345B">
      <w:r>
        <w:t>Ukupne  dospjele  obveza u iznosu od  194.137,84  odnose se  na slijedeće- JP Vodovod za CS Sardina i tlačni cjevovod  191.382,62 , zatim na rate za mobilni uređ</w:t>
      </w:r>
      <w:r>
        <w:t>aj HT-u koji otplaćujemo u ratama  a iznosi 282,72 , zatim na PZ Postira i Studenac poslane kompenzacije na ovjeru u ukupnom iznosu od 559,84  i premije osiguranja imovine, koje iznose ukupno 1.925,93 a kašnjenje istih prouzrokovano je zbog usklade s osigu</w:t>
      </w:r>
      <w:r>
        <w:t>ravateljskom kućom-Sava osiguranjem.</w:t>
      </w:r>
    </w:p>
    <w:p w:rsidR="00D7508C" w:rsidRDefault="0098345B">
      <w:r>
        <w:lastRenderedPageBreak/>
        <w:t>Za JP Vodovod dajemo slijedeće obrazloženje: kapitalni projekt plaća se po ispostavljenim Zahtjevima Vodovoda, a iz sredstava koja se prikupljaju na posebnom računu kod JP Vodovod (donesena posebna Odluka o izdvojenim s</w:t>
      </w:r>
      <w:r>
        <w:t>redstvima građana na potrošnju vode i to namjenska-samo za kapitalne projekte). S obzirom da sakupljena sredstva nisu bila dostatna za podmiru iznosa zaprimljenih zahtjeva, općina ne može utjecati na njihovo plaćanje.</w:t>
      </w:r>
    </w:p>
    <w:p w:rsidR="00D7508C" w:rsidRDefault="00D7508C"/>
    <w:sectPr w:rsidR="00D750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defaultTabStop w:val="708"/>
  <w:hyphenationZone w:val="425"/>
  <w:characterSpacingControl w:val="doNotCompress"/>
  <w:compat/>
  <w:rsids>
    <w:rsidRoot w:val="00D7508C"/>
    <w:rsid w:val="0098345B"/>
    <w:rsid w:val="00D750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D7508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3591</Words>
  <Characters>20474</Characters>
  <Application>Microsoft Office Word</Application>
  <DocSecurity>0</DocSecurity>
  <Lines>170</Lines>
  <Paragraphs>48</Paragraphs>
  <ScaleCrop>false</ScaleCrop>
  <Company>Microsoft</Company>
  <LinksUpToDate>false</LinksUpToDate>
  <CharactersWithSpaces>24017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Renata</cp:lastModifiedBy>
  <cp:revision>2</cp:revision>
  <dcterms:created xsi:type="dcterms:W3CDTF">2026-02-13T09:57:00Z</dcterms:created>
  <dcterms:modified xsi:type="dcterms:W3CDTF">2026-02-13T09:57:00Z</dcterms:modified>
</cp:coreProperties>
</file>