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Override PartName="/word/styles.xml" ContentType="application/vnd.openxmlformats-officedocument.wordprocessingml.styles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5aa2780d6f34644" /></Relationships>
</file>

<file path=word/document.xml><?xml version="1.0" encoding="utf-8"?>
<w:document xmlns:w="http://schemas.openxmlformats.org/wordprocessingml/2006/main">
  <w:body>
    <w:tbl>
      <w:tblPr>
        <w:tblW w:w="9000" w:type="dxa"/>
        <w:tblBorders>
          <w:top w:val="nil"/>
          <w:bottom w:val="nil"/>
          <w:left w:val="nil"/>
          <w:right w:val="nil"/>
          <w:insideH w:val="nil"/>
          <w:insideV w:val="nil"/>
        </w:tblBorders>
        <w:tblCellSpacing w:w="60" w:type="dxa"/>
        <w:shd w:val="clear" w:color="auto" w:fill="E7F0F9"/>
      </w:tblPr>
      <w:tblGrid>
        <w:gridCol w:w="1200"/>
        <w:gridCol w:w="4500"/>
      </w:tblGrid>
      <w:tr>
        <w:tc>
          <w:tcPr>
            <w:tcW w:w="1200" w:type="pct"/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rPr>
                <w:b/>
              </w:rPr>
              <w:t xml:space="preserve">RKP broj</w:t>
            </w:r>
          </w:p>
        </w:tc>
        <w:tc>
          <w:tcPr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t xml:space="preserve">29951</w:t>
            </w:r>
          </w:p>
        </w:tc>
      </w:tr>
      <w:tr>
        <w:tc>
          <w:tcPr>
            <w:tcW w:w="1200" w:type="pct"/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rPr>
                <w:b/>
              </w:rPr>
              <w:t xml:space="preserve">Naziv obveznika</w:t>
            </w:r>
          </w:p>
        </w:tc>
        <w:tc>
          <w:tcPr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t xml:space="preserve">OPĆINA POSTIRA</w:t>
            </w:r>
          </w:p>
        </w:tc>
      </w:tr>
      <w:tr>
        <w:tc>
          <w:tcPr>
            <w:tcW w:w="1200" w:type="pct"/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rPr>
                <w:b/>
              </w:rPr>
              <w:t xml:space="preserve">Razina</w:t>
            </w:r>
          </w:p>
        </w:tc>
        <w:tc>
          <w:tcPr>
            <w:shd w:val="clear" w:color="auto" w:fill="E7F0F9"/>
          </w:tcPr>
          <w:p>
            <w:pPr>
              <w:spacing w:before="0" w:after="0" w:line="240" w:lineRule="auto"/>
              <w:jc w:val="left"/>
            </w:pPr>
            <w:r>
              <w:t xml:space="preserve">22</w:t>
            </w:r>
          </w:p>
        </w:tc>
      </w:tr>
    </w:tbl>
    <w:p>
      <w:r>
        <w:br/>
      </w:r>
    </w:p>
    <w:p>
      <w:pPr>
        <w:jc w:val="center"/>
        <w:pStyle w:val="Normal"/>
        <w:spacing w:line="240" w:lineRule="auto"/>
      </w:pPr>
      <w:r>
        <w:rPr>
          <w:b/>
          <w:sz w:val="28"/>
          <w:rFonts w:ascii="Times New Roman" w:hAnsi="Times New Roman"/>
        </w:rPr>
        <w:t xml:space="preserve">BILJEŠKE UZ FINANCIJSKE IZVJEŠTAJE</w:t>
      </w:r>
    </w:p>
    <w:p>
      <w:pPr>
        <w:jc w:val="center"/>
        <w:pStyle w:val="Normal"/>
        <w:spacing w:line="240" w:lineRule="auto"/>
      </w:pPr>
      <w:r>
        <w:rPr>
          <w:b/>
          <w:sz w:val="28"/>
          <w:rFonts w:ascii="Times New Roman" w:hAnsi="Times New Roman"/>
        </w:rPr>
        <w:t xml:space="preserve">ZA RAZDOBLJE</w:t>
      </w:r>
    </w:p>
    <w:p>
      <w:pPr>
        <w:jc w:val="center"/>
        <w:pStyle w:val="Normal"/>
        <w:spacing w:line="240" w:lineRule="auto"/>
      </w:pPr>
      <w:r>
        <w:rPr>
          <w:b/>
          <w:sz w:val="28"/>
          <w:rFonts w:ascii="Times New Roman" w:hAnsi="Times New Roman"/>
        </w:rPr>
        <w:t xml:space="preserve">I - VI 2026.</w:t>
      </w:r>
    </w:p>
    <w:p/>
    <w:p>
      <w:pPr>
        <w:jc w:val="center"/>
        <w:pStyle w:val="Normal"/>
        <w:spacing w:line="240" w:lineRule="auto"/>
        <w:keepNext/>
      </w:pPr>
      <w:r>
        <w:rPr>
          <w:b/>
          <w:sz w:val="28"/>
          <w:rFonts w:ascii="Times New Roman" w:hAnsi="Times New Roman"/>
        </w:rPr>
        <w:t xml:space="preserve">Izvještaj o prihodima i rashodima, primicima i izdacima</w:t>
      </w:r>
    </w:p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0" w:type="auto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PRIHODI POSLOVANJA (šifre 61+62+63+64+65+66+67+68)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976.215,43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852.058,13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87,3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RASHODI POSLOVANJA (šifre 31+32+34+35+36+37+38)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758.768,63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829.604,50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109,3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VIŠAK PRIHODA POSLOVANJA (šifre 6-Z005)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X001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217.446,80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22.453,63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10,3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Prihodi od prodaje nefinancijske imovine (šifre 71+72+73+74)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1.900,00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1.567,00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82,5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Rashodi za nabavu nefinancijske imovine (šifre 41+42+43+44+45)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588.121,39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514.675,91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87,5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MANJAK PRIHODA OD NEFINANCIJSKE IMOVINE (šifre 4-7)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Y002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586.221,39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513.108,91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87,5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Primici od financijske imovine i zaduživanja (šifre 81+82+83+84+85)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Izdaci za financijsku imovinu i otplate zajmova (šifre 51+52+53+54+55)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VIŠAK/MANJAK PRIMITAKA OD FINANCIJSKE IMOVINE I ZADUŽIVANJA (šifre 8-5, 5-8)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X003, Y003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-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MANJAK PRIHODA I PRIMITAKA (šifre Y345-X678)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Y005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368.774,59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490.655,28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133,1</w:t>
            </w:r>
          </w:p>
        </w:tc>
      </w:tr>
    </w:tbl>
    <w:p>
      <w:pPr>
        <w:spacing w:before="0" w:after="0"/>
      </w:pPr>
    </w:p>
    <w:p>
      <w:r>
        <w:t xml:space="preserve">Općina je u prvoj polovini 2026.god. ostvarila prihode u iznosu od 853.625,13 , te ukupne rashode u iznosu od 1.344.280,41 . Kako je vidljivo ostvaren je ukupni manjak u iznosu od 490.655,28., što s prenesenim Viškom prihoda iz 2025.g. od 193.015,39 daje ukupan Manjak za pokriće u slijedećem razdoblju u iznosu od 297.639,89 .</w:t>
      </w:r>
    </w:p>
    <w:p>
      <w:r>
        <w:br/>
      </w:r>
    </w:p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2.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6131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Stalni porezi na nepokretnu imovinu (zemlju, zgrade, kuće i ostalo)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6131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13.110,95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22.680,42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173,0</w:t>
            </w:r>
          </w:p>
        </w:tc>
      </w:tr>
    </w:tbl>
    <w:p>
      <w:pPr>
        <w:spacing w:before="0" w:after="0"/>
      </w:pPr>
    </w:p>
    <w:p>
      <w:r>
        <w:t xml:space="preserve">U 2025.god.je ukinut porez na kuće za odmor te smo uplate za porez na nekretnine počeli primati krajem 10.mj.2025. U 2026.god. smo nastavili ostvarivati prihod od poreza na nekretnine pa je i indeks znatno veći.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3.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6134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Povremeni porezi na imovinu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6134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91.814,25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52.506,19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57,2</w:t>
            </w:r>
          </w:p>
        </w:tc>
      </w:tr>
    </w:tbl>
    <w:p>
      <w:pPr>
        <w:spacing w:before="0" w:after="0"/>
      </w:pPr>
    </w:p>
    <w:p>
      <w:r>
        <w:t xml:space="preserve">Prihod je smanjen zbog smanjenja broja kupoprodajnih ugovora za kupovinu odnosno prodaju nekretnina u odnosu na isto razdoblje 2025.g.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4.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6382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Kapitalne pomoći temeljem prijenosa EU sredstava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6382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30.250,00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</w:tbl>
    <w:p>
      <w:pPr>
        <w:spacing w:before="0" w:after="0"/>
      </w:pPr>
    </w:p>
    <w:p>
      <w:r>
        <w:t xml:space="preserve">U 2026.god. smo ostvarili kapitalnu pomoć temeljem prijenosa EU sredstava za izradu projektne dokumentacije za osnovnu školu Vladimir Nazor u Postira.Radi se o investiciji za koju smo rashode ostvarili u 2024.godini, te ih financirali iz drugih izvora, a pomoć primili u prvoj polovini godine 2026.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5.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6422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Prihodi od zakupa i iznajmljivanja imovine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6422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24.143,60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8.617,45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35,7</w:t>
            </w:r>
          </w:p>
        </w:tc>
      </w:tr>
    </w:tbl>
    <w:p>
      <w:pPr>
        <w:spacing w:before="0" w:after="0"/>
      </w:pPr>
    </w:p>
    <w:p>
      <w:r>
        <w:t xml:space="preserve">Neki najmovi prostora se trebaju kompenzirati , što se nije realiziralo u prvih 6 mj.ove godine.U 11. mj.2024. sklopili smo nove ugovore o zakupu prostora sa više partnera, te je isti prihod ostvaren u prvoj polovini 2025. g. Na veći prihod ostvaren u 2025. utječe i sama dinamika plaćanja.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6.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6512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Županijske, gradske i općinske pristojbe i naknade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6512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22.552,11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8.274,11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36,7</w:t>
            </w:r>
          </w:p>
        </w:tc>
      </w:tr>
    </w:tbl>
    <w:p>
      <w:pPr>
        <w:spacing w:before="0" w:after="0"/>
      </w:pPr>
    </w:p>
    <w:p>
      <w:r>
        <w:t xml:space="preserve">U 2025.god. smo ostvarili prihod od izdvojenih namjenskih sredstava JP Vodovod Brač u iznosu od 14.278,00 €  dok isti nismo imali u 2026.god. Sredstva se prikupljaju na posebnom računu , a koriste isključivo za kapitalne projekte vodovoda i kanalizacije.Na računu općine se prikazuju kao prihod u momentu kada se koriste za plaćanje komunalno-vodnih građevina kroz kompenzacije.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7.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6531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Komunalni doprinosi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6531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84.373,72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778,34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0,9</w:t>
            </w:r>
          </w:p>
        </w:tc>
      </w:tr>
    </w:tbl>
    <w:p>
      <w:pPr>
        <w:spacing w:before="0" w:after="0"/>
      </w:pPr>
    </w:p>
    <w:p>
      <w:r>
        <w:t xml:space="preserve">Krajem 2024.g. su bila izdana rješenja za komunani doprinos s dospjećem u 01.mj. 2025.g. pa su i uplata ostvarene tada. Tijekom 2025.god. nisu izdavana rješenja pa za isto nismo imali ni evidentiranih uplata.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8.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3234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Komunalne usluge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3234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36.654,86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45.912,60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125,3</w:t>
            </w:r>
          </w:p>
        </w:tc>
      </w:tr>
    </w:tbl>
    <w:p>
      <w:pPr>
        <w:spacing w:before="0" w:after="0"/>
      </w:pPr>
    </w:p>
    <w:p>
      <w:r>
        <w:t xml:space="preserve">Povećanje je vidljivo zbog sufinanciranja troškova deponiranja otpada na deponiju Kupinovica u iznosu od 6.935,63 € u kojima su uključeni računi za 10,11, i 12.mj.2025.g.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9.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3235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Zakupnine i najamnine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3235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1.813,50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12.415,50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684,6</w:t>
            </w:r>
          </w:p>
        </w:tc>
      </w:tr>
    </w:tbl>
    <w:p>
      <w:pPr>
        <w:spacing w:before="0" w:after="0"/>
      </w:pPr>
    </w:p>
    <w:p>
      <w:r>
        <w:t xml:space="preserve">U 2026.g. imamo ulaganje u najam vozila za potrebe komuinale dok isto nismo imali u prvih 6 mj. 2026.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10.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3293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Reprezentacija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3293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8.580,12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19.129,53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223,0</w:t>
            </w:r>
          </w:p>
        </w:tc>
      </w:tr>
    </w:tbl>
    <w:p>
      <w:pPr>
        <w:spacing w:before="0" w:after="0"/>
      </w:pPr>
    </w:p>
    <w:p>
      <w:r>
        <w:t xml:space="preserve">Otočno vijeće bilo je održano u našoj općini ,te smo isto financirali u iznosu od 7.818,90 €, što je utjecalo na povećanje rashoda reprezentacije u 2026.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11.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4213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Ceste, željeznice i ostali prometni objekti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4213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386.034,95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228.782,97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59,3</w:t>
            </w:r>
          </w:p>
        </w:tc>
      </w:tr>
    </w:tbl>
    <w:p>
      <w:pPr>
        <w:spacing w:before="0" w:after="0"/>
      </w:pPr>
    </w:p>
    <w:p>
      <w:r>
        <w:t xml:space="preserve">U 2025.god. imali smo kapitalno ulaganje u uređenje parkirališta s oborinskom odvodnjom i rasvjetom u iznosu od 239.652,40 € kao ,uređenje parkinga Zastivaje u iznosu od 18.555,00 €, kao i šetnicu Lungo Mare 33.750,00€ i nerazvrstanu cestu Mala Lozna iznos 51.337,55€. U 2026.g. smo uložili u poljske puteve 29.943,50 €, Šetnicu Lungo Mare dodatnih 46.445,71 € te u novi parking Strančica 147.763,76 €.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12.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4214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Ostali građevinski objekti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4214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31.132,43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1.602,90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5,1</w:t>
            </w:r>
          </w:p>
        </w:tc>
      </w:tr>
    </w:tbl>
    <w:p>
      <w:pPr>
        <w:spacing w:before="0" w:after="0"/>
      </w:pPr>
    </w:p>
    <w:p>
      <w:r>
        <w:t xml:space="preserve">U 2025.g. ulaganje je ostvareno u Spomen park Bl.Alojziju Stepincu, koje se u 2026. nije ostvarilo.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13.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4227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Uređaji, strojevi i oprema za ostale namjene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4227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8.638,20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35.976,89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416,5</w:t>
            </w:r>
          </w:p>
        </w:tc>
      </w:tr>
    </w:tbl>
    <w:p>
      <w:pPr>
        <w:spacing w:before="0" w:after="0"/>
      </w:pPr>
    </w:p>
    <w:p>
      <w:r>
        <w:t xml:space="preserve">U 2025g. smo nabavili 5 drvenih kućica-štandova u iznosu od  30.250,00€ 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14.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4231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Prijevozna sredstva u cestovnom prometu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4231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18.261,25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</w:tbl>
    <w:p>
      <w:pPr>
        <w:spacing w:before="0" w:after="0"/>
      </w:pPr>
    </w:p>
    <w:p>
      <w:r>
        <w:t xml:space="preserve">U 2026.god. općina je nabavila porter NP6 kiper kamioncin za potrebe komunale 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15.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4262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Ulaganja u računalne programe 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4262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3.307,70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</w:tbl>
    <w:p>
      <w:pPr>
        <w:spacing w:before="0" w:after="0"/>
      </w:pPr>
    </w:p>
    <w:p>
      <w:r>
        <w:t xml:space="preserve">U 2026.god. smo imali ulaganje u nadigradnju programa POS zbog uvođenja u sustav Riznice u iznosu od 2.600,00€ te ulaganje u program za komunalne poslove.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16.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4263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Umjetnička, literarna i znanstvena djela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4263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67.250,00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13.825,00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20,6</w:t>
            </w:r>
          </w:p>
        </w:tc>
      </w:tr>
    </w:tbl>
    <w:p>
      <w:pPr>
        <w:spacing w:before="0" w:after="0"/>
      </w:pPr>
    </w:p>
    <w:p>
      <w:r>
        <w:t xml:space="preserve">U  tijeku 2025.god. bilo je dosta ulaganja u projektne dokumentacije zbog izgradnje kapitalnih projekata , što u tekćem razdoblju 2026. nije bilo potrebno 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17.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prethodne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Ostvareno u izvještajnom razdoblju tekuće godine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451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Dodatna ulaganja na građevinskim objektima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451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77.227,85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202.865,86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262,7</w:t>
            </w:r>
          </w:p>
        </w:tc>
      </w:tr>
    </w:tbl>
    <w:p>
      <w:pPr>
        <w:spacing w:before="0" w:after="0"/>
      </w:pPr>
    </w:p>
    <w:p>
      <w:r>
        <w:t xml:space="preserve">U tijeku 2026.god. uloženo je u  nerazvrstanu cestu Mala Lozna iznos 192.065,86€ te u Vodosprenu Lovrečina iznos 10.800,00€, a radi se o projektima koji će se graditi kroz narene godine.</w:t>
      </w:r>
    </w:p>
    <w:p/>
    <w:p>
      <w:pPr>
        <w:jc w:val="center"/>
        <w:pStyle w:val="Normal"/>
        <w:spacing w:line="240" w:lineRule="auto"/>
        <w:keepNext/>
      </w:pPr>
      <w:r>
        <w:rPr>
          <w:b/>
          <w:sz w:val="28"/>
          <w:rFonts w:ascii="Times New Roman" w:hAnsi="Times New Roman"/>
        </w:rPr>
        <w:t xml:space="preserve">Izvještaj o obvezama</w:t>
      </w:r>
    </w:p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18.</w:t>
      </w:r>
    </w:p>
    <w:tbl>
      <w:tblPr>
        <w:tblBorders>
          <w:top w:val="single" w:color="BABABA" w:sz="12"/>
          <w:bottom w:val="single" w:color="BABABA" w:sz="12"/>
          <w:left w:val="single" w:color="BABABA" w:sz="12"/>
          <w:right w:val="single" w:color="BABABA" w:sz="12"/>
          <w:insideH w:val="single" w:color="BABABA" w:sz="8"/>
          <w:insideV w:val="single" w:color="DADADA" w:sz="8"/>
        </w:tblBorders>
        <w:tblW w:w="9000" w:type="dxa"/>
        <w:tblLayout w:type="fixed"/>
        <w:tblCellMar>
          <w:left w:w="40" w:type="dxa"/>
          <w:right w:w="40" w:type="dxa"/>
        </w:tblCellMar>
      </w:tblPr>
      <w:tblGrid>
        <w:gridCol w:w="700"/>
        <w:gridCol w:w="3180"/>
        <w:gridCol w:w="700"/>
        <w:gridCol w:w="1860"/>
        <w:gridCol w:w="700"/>
      </w:tblGrid>
      <w:tr>
        <w:trPr>
          <w:cantSplit/>
        </w:trPr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Račun iz rač. plana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Opis stavke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Šifra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Iznos</w:t>
            </w:r>
          </w:p>
        </w:tc>
        <w:tc>
          <w:tcPr>
            <w:shd w:val="clear" w:color="auto" w:fill="E7F0F9"/>
            <w:tcMar>
              <w:top w:w="0" w:type="dxa"/>
              <w:bottom w:w="0" w:type="dxa"/>
            </w:tcMar>
            <w:vAlign w:val="center"/>
          </w:tcPr>
          <w:p>
            <w:pPr>
              <w:jc w:val="center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  <w:b/>
              </w:rPr>
              <w:t>Indeks (%)</w:t>
            </w:r>
          </w:p>
        </w:tc>
      </w:tr>
      <w:tr>
        <w:trPr>
          <w:trHeight w:val="560" w:hRule="atLeast"/>
          <w:cantSplit/>
        </w:trPr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/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Stanje dospjelih obveza na kraju izvještajnog razdoblja (šifre V008+D23+D24 + 'D dio 25,26' + D27)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lef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V007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311.540,25</w:t>
            </w:r>
          </w:p>
        </w:tc>
        <w:tc>
          <w:tcPr>
            <w:tcMar>
              <w:top w:w="0" w:type="dxa"/>
              <w:bottom w:w="0" w:type="dxa"/>
            </w:tcMar>
            <w:vAlign w:val="center"/>
          </w:tcPr>
          <w:p>
            <w:pPr>
              <w:jc w:val="right"/>
              <w:pStyle w:val="Normal"/>
              <w:spacing w:before="0" w:after="0" w:line="240" w:lineRule="auto"/>
              <w:keepNext/>
              <w:keepLines/>
            </w:pPr>
            <w:r>
              <w:rPr>
                <w:sz w:val="18"/>
                <w:rFonts w:ascii="Times New Roman" w:hAnsi="Times New Roman"/>
              </w:rPr>
              <w:t>-</w:t>
            </w:r>
          </w:p>
        </w:tc>
      </w:tr>
    </w:tbl>
    <w:p>
      <w:pPr>
        <w:spacing w:before="0" w:after="0"/>
      </w:pPr>
    </w:p>
    <w:p>
      <w:r>
        <w:t xml:space="preserve">Najveći dio dospjelih obveza na dan 30.06.2026.god. odnosi se na slijedeće:</w:t>
      </w:r>
    </w:p>
    <w:p>
      <w:r>
        <w:t xml:space="preserve"> - 202.182,62 obveza prema JP Vodovod za izgradnju vodovodnih i kanalizacijskih objekata koje se plaćaju iz prikupljenih sredstava na posebnom računu kod JP Vodovod te se i dospjeli računi plaćaju prema mogučnostima ovisno o prikupljenim namjenskim sredstvima</w:t>
      </w:r>
    </w:p>
    <w:p>
      <w:r>
        <w:t xml:space="preserve">-iznos od 109.357,63 odnosi se na razne dobavljače koji su već početkom 7.mj.26. i podmireni ,a oni koji nisu očekuje se njihovo plaćanje uglavnom kompenzacijama čiju realizaciju još čekamo.</w:t>
      </w:r>
    </w:p>
    <w:p/>
    <w:p>
      <w:pPr>
        <w:jc w:val="center"/>
        <w:pStyle w:val="Normal"/>
        <w:spacing w:line="240" w:lineRule="auto"/>
        <w:keepNext/>
      </w:pPr>
      <w:r>
        <w:rPr>
          <w:sz w:val="28"/>
          <w:rFonts w:ascii="Times New Roman" w:hAnsi="Times New Roman"/>
        </w:rPr>
        <w:t xml:space="preserve">Bilješka 19.</w:t>
      </w:r>
    </w:p>
    <w:p>
      <w:pPr>
        <w:jc w:val="both"/>
        <w:pStyle w:val="Normal"/>
        <w:spacing w:line="240" w:lineRule="auto"/>
      </w:pPr>
      <w:r>
        <w:rPr>
          <w:b/>
          <w:sz w:val="24"/>
          <w:rFonts w:ascii="Times New Roman" w:hAnsi="Times New Roman"/>
        </w:rPr>
        <w:t xml:space="preserve">EU izvještaj</w:t>
      </w:r>
    </w:p>
    <w:p>
      <w:r>
        <w:t xml:space="preserve">U 2026.god. smo ostvarili kapitalnu pomoć temeljem prijenosa EU sredstava za izradu projektne dokumentacije za Osnovnu školu Vladimir Nazor u Postira.Radi se o investiciji za koju smo rashode imali u 2024.god.,te ih financirali iz drugih izvora, a pomoćm primili u prvoj polovini 2026.g.</w:t>
      </w:r>
    </w:p>
    <w:p/>
  </w:body>
</w:document>
</file>

<file path=word/styles.xml><?xml version="1.0" encoding="utf-8"?>
<w:styles xmlns:w="http://schemas.openxmlformats.org/wordprocessingml/2006/main">
  <w:docDefaults>
    <w:rPrDefault>
      <w:rPr>
        <w:rFonts w:ascii="Times New Roman" w:hAnsi="Times New Roman"/>
        <w:sz w:val="24"/>
      </w:rPr>
    </w:rPrDefault>
  </w:docDefaults>
  <w:style w:type="paragraph" w:styleId="Normal" w:default="true">
    <w:name w:val="Normal"/>
    <w:rPr>
      <w:rFonts w:ascii="Times New Roman" w:hAnsi="Times New Roman"/>
      <w:sz w:val="24"/>
    </w:r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5a046edf01d342df" /></Relationships>
</file>