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Override PartName="/word/styles.xml" ContentType="application/vnd.openxmlformats-officedocument.wordprocessingml.styl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815ca9dff5848dc" /></Relationships>
</file>

<file path=word/document.xml><?xml version="1.0" encoding="utf-8"?>
<w:document xmlns:w="http://schemas.openxmlformats.org/wordprocessingml/2006/main">
  <w:body>
    <w:tbl>
      <w:tblPr>
        <w:tblW w:w="9000" w:type="dxa"/>
        <w:tblBorders>
          <w:top w:val="nil"/>
          <w:bottom w:val="nil"/>
          <w:left w:val="nil"/>
          <w:right w:val="nil"/>
          <w:insideH w:val="nil"/>
          <w:insideV w:val="nil"/>
        </w:tblBorders>
        <w:tblCellSpacing w:w="60" w:type="dxa"/>
        <w:shd w:val="clear" w:color="auto" w:fill="E7F0F9"/>
      </w:tblPr>
      <w:tblGrid>
        <w:gridCol w:w="1200"/>
        <w:gridCol w:w="4500"/>
      </w:tblGrid>
      <w:tr>
        <w:tc>
          <w:tcPr>
            <w:tcW w:w="1200" w:type="pct"/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rPr>
                <w:b/>
              </w:rPr>
              <w:t xml:space="preserve">RKP broj</w:t>
            </w:r>
          </w:p>
        </w:tc>
        <w:tc>
          <w:tcPr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t xml:space="preserve">49456</w:t>
            </w:r>
          </w:p>
        </w:tc>
      </w:tr>
      <w:tr>
        <w:tc>
          <w:tcPr>
            <w:tcW w:w="1200" w:type="pct"/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rPr>
                <w:b/>
              </w:rPr>
              <w:t xml:space="preserve">Naziv obveznika</w:t>
            </w:r>
          </w:p>
        </w:tc>
        <w:tc>
          <w:tcPr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t xml:space="preserve">OPĆINSKA KNJIŽNICA IVAN MATIJ ŠKARIĆ</w:t>
            </w:r>
          </w:p>
        </w:tc>
      </w:tr>
      <w:tr>
        <w:tc>
          <w:tcPr>
            <w:tcW w:w="1200" w:type="pct"/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rPr>
                <w:b/>
              </w:rPr>
              <w:t xml:space="preserve">Razina</w:t>
            </w:r>
          </w:p>
        </w:tc>
        <w:tc>
          <w:tcPr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t xml:space="preserve">21</w:t>
            </w:r>
          </w:p>
        </w:tc>
      </w:tr>
    </w:tbl>
    <w:p>
      <w:r>
        <w:br/>
      </w:r>
    </w:p>
    <w:p>
      <w:pPr>
        <w:jc w:val="center"/>
        <w:pStyle w:val="Normal"/>
        <w:spacing w:line="240" w:lineRule="auto"/>
      </w:pPr>
      <w:r>
        <w:rPr>
          <w:b/>
          <w:sz w:val="28"/>
          <w:rFonts w:ascii="Times New Roman" w:hAnsi="Times New Roman"/>
        </w:rPr>
        <w:t xml:space="preserve">BILJEŠKE UZ FINANCIJSKE IZVJEŠTAJE</w:t>
      </w:r>
    </w:p>
    <w:p>
      <w:pPr>
        <w:jc w:val="center"/>
        <w:pStyle w:val="Normal"/>
        <w:spacing w:line="240" w:lineRule="auto"/>
      </w:pPr>
      <w:r>
        <w:rPr>
          <w:b/>
          <w:sz w:val="28"/>
          <w:rFonts w:ascii="Times New Roman" w:hAnsi="Times New Roman"/>
        </w:rPr>
        <w:t xml:space="preserve">ZA RAZDOBLJE</w:t>
      </w:r>
    </w:p>
    <w:p>
      <w:pPr>
        <w:jc w:val="center"/>
        <w:pStyle w:val="Normal"/>
        <w:spacing w:line="240" w:lineRule="auto"/>
      </w:pPr>
      <w:r>
        <w:rPr>
          <w:b/>
          <w:sz w:val="28"/>
          <w:rFonts w:ascii="Times New Roman" w:hAnsi="Times New Roman"/>
        </w:rPr>
        <w:t xml:space="preserve">I - VI 2026.</w:t>
      </w:r>
    </w:p>
    <w:p/>
    <w:p>
      <w:pPr>
        <w:jc w:val="center"/>
        <w:pStyle w:val="Normal"/>
        <w:spacing w:line="240" w:lineRule="auto"/>
        <w:keepNext/>
      </w:pPr>
      <w:r>
        <w:rPr>
          <w:b/>
          <w:sz w:val="28"/>
          <w:rFonts w:ascii="Times New Roman" w:hAnsi="Times New Roman"/>
        </w:rPr>
        <w:t xml:space="preserve">Izvještaj o prihodima i rashodima, primicima i izdacima</w:t>
      </w:r>
    </w:p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0" w:type="auto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PRIHODI POSLOVANJA (šifre 61+62+63+64+65+66+67+68)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15.003,27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16.977,52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113,2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POSLOVANJA (šifre 31+32+34+35+36+37+38)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5.764,63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6.955,72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120,7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VIŠAK PRIHODA POSLOVANJA (šifre 6-Z005)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X001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9.238,64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10.021,80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108,5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Prihodi od prodaje nefinancijske imovine (šifre 71+72+73+74)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za nabavu nefinancijske imovine (šifre 41+42+43+44+45)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2.612,71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200,03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7,7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MANJAK PRIHODA OD NEFINANCIJSKE IMOVINE (šifre 4-7)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Y002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2.612,71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200,03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7,7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Primici od financijske imovine i zaduživanja (šifre 81+82+83+84+85)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Izdaci za financijsku imovinu i otplate zajmova (šifre 51+52+53+54+55)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VIŠAK/MANJAK PRIMITAKA OD FINANCIJSKE IMOVINE I ZADUŽIVANJA (šifre 8-5, 5-8)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X003, Y003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VIŠAK PRIHODA I PRIMITAKA (šifre X678-Y345)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X005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6.625,93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9.821,77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148,2</w:t>
            </w:r>
          </w:p>
        </w:tc>
      </w:tr>
    </w:tbl>
    <w:p>
      <w:pPr>
        <w:spacing w:before="0" w:after="0"/>
      </w:pPr>
    </w:p>
    <w:p>
      <w:r>
        <w:t xml:space="preserve">Ukupan višak prihoda i primitaka iznosi 9.821,77 EUR.</w:t>
      </w:r>
      <w:r>
        <w:br/>
      </w:r>
      <w:r>
        <w:t xml:space="preserve">Manjak  prihoda i primitka – preneseni iznosi 180,06 EUR.</w:t>
      </w:r>
      <w:r>
        <w:br/>
      </w:r>
      <w:r>
        <w:t xml:space="preserve">Višak prihoda i primitak raspoloživ u sljedećem razdoblju iznosi 9.641,71 EUR. </w:t>
      </w:r>
    </w:p>
    <w:p>
      <w:r>
        <w:t xml:space="preserve"> </w:t>
      </w:r>
    </w:p>
    <w:p>
      <w:r>
        <w:br/>
      </w:r>
    </w:p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2.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6362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Kapitalne pomoći proračunskim korisnicima iz proračuna koji im nije nadležan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6362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9.195,00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9.940,00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108,1</w:t>
            </w:r>
          </w:p>
        </w:tc>
      </w:tr>
    </w:tbl>
    <w:p>
      <w:pPr>
        <w:spacing w:before="0" w:after="0"/>
      </w:pPr>
    </w:p>
    <w:p>
      <w:r>
        <w:t xml:space="preserve">ŠIFRA 6362 – Kapitalne  pomoći korisnicima iz proračuna koji im nije nadležan iznose 9.940,00 EUR  i veće su u odnosu na promatrano razdoblje zbog povećanja iznosa za kupnju nefinancijske imovine (knjiga).</w:t>
      </w:r>
    </w:p>
    <w:p>
      <w:r>
        <w:t xml:space="preserve"> 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3.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6711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Prihodi iz nadležnog proračuna za financiranje rashoda poslovanja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6711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5.808,27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7.037,52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121,2</w:t>
            </w:r>
          </w:p>
        </w:tc>
      </w:tr>
    </w:tbl>
    <w:p>
      <w:pPr>
        <w:spacing w:before="0" w:after="0"/>
      </w:pPr>
    </w:p>
    <w:p>
      <w:r>
        <w:t xml:space="preserve">ŠIFRA 6711– Prihodi iz nadležnog proračuna za financiranje rashoda poslovanja iznose 7.037,52 EUR  u odnosu na promatrano razdoblje veće su za 21,20 posto  zbog povećanih rashoda za ugovor o djelu.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4.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za materijal i energiju (šifre 3221 do 3227)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89,85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50,05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55,7</w:t>
            </w:r>
          </w:p>
        </w:tc>
      </w:tr>
    </w:tbl>
    <w:p>
      <w:pPr>
        <w:spacing w:before="0" w:after="0"/>
      </w:pPr>
    </w:p>
    <w:p>
      <w:r>
        <w:t xml:space="preserve">ŠIFRA 322 – Rashodi za materijal iznose 50,05 EUR.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5.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za usluge (šifre 3231 do 3239)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5.559,20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6.905,67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124,2</w:t>
            </w:r>
          </w:p>
        </w:tc>
      </w:tr>
    </w:tbl>
    <w:p>
      <w:pPr>
        <w:spacing w:before="0" w:after="0"/>
      </w:pPr>
    </w:p>
    <w:p>
      <w:r>
        <w:t xml:space="preserve">ŠIFRA 323– Rashodi za usluge iznosi 6.905,67 EUR, u odnosu na promatrano razdoblje veći su za 24,20 posto prvenstveno zbog povećanih rashoda za ugovor o djelu za djelatnicu u knjižnici.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6.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za nabavu proizvedene dugotrajne imovine (šifre 421+422+423+424+425+426)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2.612,71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200,03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7,7</w:t>
            </w:r>
          </w:p>
        </w:tc>
      </w:tr>
    </w:tbl>
    <w:p>
      <w:pPr>
        <w:spacing w:before="0" w:after="0"/>
      </w:pPr>
    </w:p>
    <w:p>
      <w:r>
        <w:t xml:space="preserve">ŠIFRA 424– Knjige, kupnja novih knjiga za u iznosu od 200,03 EUR. Ovi rashodi u odnosu na prethodno razdoblje veći zbog više doznačenih sredstava (Općina i Ministarstvo)  za kupnju knjiga.</w:t>
      </w:r>
    </w:p>
    <w:p/>
    <w:p>
      <w:pPr>
        <w:jc w:val="center"/>
        <w:pStyle w:val="Normal"/>
        <w:spacing w:line="240" w:lineRule="auto"/>
        <w:keepNext/>
      </w:pPr>
      <w:r>
        <w:rPr>
          <w:b/>
          <w:sz w:val="28"/>
          <w:rFonts w:ascii="Times New Roman" w:hAnsi="Times New Roman"/>
        </w:rPr>
        <w:t xml:space="preserve">Izvještaj o obvezama</w:t>
      </w:r>
    </w:p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7.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Iznos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/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Stanje obveza 1. siječnja (=stanju obveza iz Izvještaja o obvezama na 31. prosinca prethodne godine)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V001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178,49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Stanje obveza na dan 1.1.2026. iznosi 178,49 EUR (ŠIFRA V001) koje su podmirene u izvještajnom razdoblju 01.01.2026.-31.03.2026.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8.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Iznos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/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Stanje obveza na kraju izvještajnog razdoblja (šifre V001+V002-V004) i (šifre V007+V009)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V006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298,28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Stanje obveza na kraju izvještajnog razdoblja iznosih 298,28 EUR (ŠIFRA V006) te se odnose na nedospjele obveze  za :</w:t>
      </w:r>
    </w:p>
    <w:p>
      <w:r>
        <w:t xml:space="preserve">-    98,25 EUR obveze za materijalne rashode </w:t>
      </w:r>
      <w:r>
        <w:br/>
      </w:r>
      <w:r>
        <w:t xml:space="preserve">-    200,03 EUR obveze za nabavu nefinancijske imovine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9.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Iznos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/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Stanje dospjelih obveza na kraju izvještajnog razdoblja (šifre V008+D23+D24 + 'D dio 25,26' + D27)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V007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Sve obveze podmiruju se u ugovorenim rokovima dospijeća,  Knjižnica na dan 30. lipnja 2026. godine nema dospjelih, a nepodmirenih obveza.</w:t>
      </w:r>
    </w:p>
    <w:p/>
  </w:body>
</w:document>
</file>

<file path=word/styles.xml><?xml version="1.0" encoding="utf-8"?>
<w:styles xmlns:w="http://schemas.openxmlformats.org/wordprocessingml/2006/main">
  <w:docDefaults>
    <w:rPrDefault>
      <w:rPr>
        <w:rFonts w:ascii="Times New Roman" w:hAnsi="Times New Roman"/>
        <w:sz w:val="24"/>
      </w:rPr>
    </w:rPrDefault>
  </w:docDefaults>
  <w:style w:type="paragraph" w:styleId="Normal" w:default="true">
    <w:name w:val="Normal"/>
    <w:rPr>
      <w:rFonts w:ascii="Times New Roman" w:hAnsi="Times New Roman"/>
      <w:sz w:val="24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42fc3f2fba49bc" /></Relationships>
</file>