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0dceb03e94df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49456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OPĆINSKA KNJIŽNICA IVAN MATIJ ŠKARIĆ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17.650,95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20.425,22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8.568,89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10.482,96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9.082,06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9.942,26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109,5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3.455,17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3.455,17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5.626,89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9.742,23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173,1</w:t>
            </w:r>
          </w:p>
        </w:tc>
      </w:tr>
    </w:tbl>
    <w:p>
      <w:pPr>
        <w:spacing w:before="0" w:after="0"/>
      </w:pPr>
    </w:p>
    <w:p>
      <w:r>
        <w:t xml:space="preserve">Ukupan višak prihoda i primitaka iznosi 9,742,23 EUR.</w:t>
      </w:r>
      <w:r>
        <w:br/>
      </w:r>
      <w:r>
        <w:t xml:space="preserve">Manjak  prihoda i primitka – preneseni iznosi 180,06 EUR.</w:t>
      </w:r>
      <w:r>
        <w:br/>
      </w:r>
      <w:r>
        <w:t xml:space="preserve">Višak prihoda i primitak raspoloživ u sljedećem razdoblju iznosi 9.562,17 EUR. </w:t>
      </w:r>
    </w:p>
    <w:p>
      <w:r>
        <w:t xml:space="preserve">Povećanje prihoda u odnosu na prethodno razdoblje rezultat je većih sredstava namijenjenih nabavi knjižne građe te povećanih prihoda iz nadležnog proračuna za financiranje rashoda poslovanja.</w:t>
      </w:r>
      <w:r>
        <w:br/>
      </w:r>
      <w:r>
        <w:t xml:space="preserve">Najveći dio rashoda odnosi se na usluge, prvenstveno na troškove ugovora o djelu za djelatnicu knjižnice. Tijekom izvještajnog razdoblja nabavljena je i nova knjižna građa, čime se doprinosi obogaćivanju knjižničnog fonda i unapređenju usluga za korisnike</w:t>
      </w:r>
    </w:p>
    <w:p>
      <w:r>
        <w:t xml:space="preserve">Poslovanje Knjižnice u prvih devet mjeseci 2026. Godine obilježeno je stabilnim financijskim poslovanjem, urednim podmirivanjem rashoda te osiguravanjem sredstava za nabavu novih knjiga i daljnji razvoj knjižnične djelatnosti.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9.195,00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108,1</w:t>
            </w:r>
          </w:p>
        </w:tc>
      </w:tr>
    </w:tbl>
    <w:p>
      <w:pPr>
        <w:spacing w:before="0" w:after="0"/>
      </w:pPr>
    </w:p>
    <w:p>
      <w:r>
        <w:t xml:space="preserve">ŠIFRA 6362 – Kapitalne  pomoći korisnicima iz proračuna koji im nije nadležan iznose 9.940,00 EUR  i veće su u odnosu na promatrano razdoblje zbog povećanja iznosa za kupnju nefinancijske imovine (knjiga).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8.455,95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10.485,22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124,0</w:t>
            </w:r>
          </w:p>
        </w:tc>
      </w:tr>
    </w:tbl>
    <w:p>
      <w:pPr>
        <w:spacing w:before="0" w:after="0"/>
      </w:pPr>
    </w:p>
    <w:p>
      <w:r>
        <w:t xml:space="preserve">ŠIFRA 6711– Prihodi iz nadležnog proračuna za financiranje rashoda poslovanja iznose 10.485,22 EUR  u odnosu na promatrano razdoblje veće su za 24,80 posto zbog povećanih rashoda za ugovor o djelu.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8.294,42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10.354,93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124,8</w:t>
            </w:r>
          </w:p>
        </w:tc>
      </w:tr>
    </w:tbl>
    <w:p>
      <w:pPr>
        <w:spacing w:before="0" w:after="0"/>
      </w:pPr>
    </w:p>
    <w:p>
      <w:r>
        <w:t xml:space="preserve">ŠIFRA 323– Rashodi za usluge iznosi 10.354,93 EUR, u odnosu na promatrano razdoblje veći su za 24,80 posto prvenstveno zbog povećanih rashoda za ugovor o djelu za djelatnicu u knjižnici.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Knjige, umjetnička djela i ostale izložbene vrijednosti (šifre 4241 do 4244)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3.455,17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5,8</w:t>
            </w:r>
          </w:p>
        </w:tc>
      </w:tr>
    </w:tbl>
    <w:p>
      <w:pPr>
        <w:spacing w:before="0" w:after="0"/>
      </w:pPr>
    </w:p>
    <w:p>
      <w:r>
        <w:t xml:space="preserve">ŠIFRA 424– Knjige, kupnja novih knjiga za u iznosu od 200,03 EUR. Ovi rashodi u odnosu na prethodno razdoblje manji zbog kupnje novih knjiga u listopadu 2026.godine.</w:t>
      </w:r>
    </w:p>
    <w:p>
      <w:r>
        <w:t xml:space="preserve">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69d67e4d4b64734" /></Relationships>
</file>