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D4DFBE" w14:textId="70E836A8" w:rsidR="00A36862" w:rsidRPr="009369CA" w:rsidRDefault="00A36862" w:rsidP="00D91A6B">
      <w:pPr>
        <w:pStyle w:val="BodyText"/>
        <w:jc w:val="both"/>
        <w:rPr>
          <w:rFonts w:ascii="Arial Narrow" w:hAnsi="Arial Narrow"/>
          <w:b w:val="0"/>
          <w:bCs w:val="0"/>
          <w:lang w:val="hr-HR"/>
        </w:rPr>
      </w:pPr>
      <w:r w:rsidRPr="009369CA">
        <w:rPr>
          <w:rFonts w:ascii="Arial Narrow" w:hAnsi="Arial Narrow"/>
          <w:b w:val="0"/>
          <w:bCs w:val="0"/>
          <w:lang w:val="hr-HR"/>
        </w:rPr>
        <w:t>Na temelju članka 110 Zakona o prostornom uređenju (NN 153/13, 65/17, 114/18, 39/19, 98/19</w:t>
      </w:r>
      <w:r w:rsidR="00D91A6B" w:rsidRPr="009369CA">
        <w:rPr>
          <w:rFonts w:ascii="Arial Narrow" w:hAnsi="Arial Narrow"/>
          <w:b w:val="0"/>
          <w:bCs w:val="0"/>
          <w:lang w:val="hr-HR"/>
        </w:rPr>
        <w:t>, 67/23</w:t>
      </w:r>
      <w:r w:rsidRPr="009369CA">
        <w:rPr>
          <w:rFonts w:ascii="Arial Narrow" w:hAnsi="Arial Narrow"/>
          <w:b w:val="0"/>
          <w:bCs w:val="0"/>
          <w:lang w:val="hr-HR"/>
        </w:rPr>
        <w:t>) i članka</w:t>
      </w:r>
      <w:r w:rsidR="00107F2F">
        <w:rPr>
          <w:rFonts w:ascii="Arial Narrow" w:hAnsi="Arial Narrow"/>
          <w:b w:val="0"/>
          <w:bCs w:val="0"/>
          <w:lang w:val="hr-HR"/>
        </w:rPr>
        <w:t xml:space="preserve"> 32. </w:t>
      </w:r>
      <w:r w:rsidRPr="009369CA">
        <w:rPr>
          <w:rFonts w:ascii="Arial Narrow" w:hAnsi="Arial Narrow"/>
          <w:b w:val="0"/>
          <w:bCs w:val="0"/>
          <w:lang w:val="hr-HR"/>
        </w:rPr>
        <w:t xml:space="preserve">Statuta Općine Postira (Službeni glasnik Općine Postira br. 3/13, 6/13, 5/20 i 5/21), Općinsko vijeće Općine Postira na svojoj </w:t>
      </w:r>
      <w:r w:rsidR="005852AA">
        <w:rPr>
          <w:rFonts w:ascii="Arial Narrow" w:hAnsi="Arial Narrow"/>
          <w:b w:val="0"/>
          <w:bCs w:val="0"/>
          <w:lang w:val="hr-HR"/>
        </w:rPr>
        <w:t xml:space="preserve">17. </w:t>
      </w:r>
      <w:r w:rsidRPr="009369CA">
        <w:rPr>
          <w:rFonts w:ascii="Arial Narrow" w:hAnsi="Arial Narrow"/>
          <w:b w:val="0"/>
          <w:bCs w:val="0"/>
          <w:lang w:val="hr-HR"/>
        </w:rPr>
        <w:t>sjednici održanoj dana</w:t>
      </w:r>
      <w:r w:rsidR="005852AA">
        <w:rPr>
          <w:rFonts w:ascii="Arial Narrow" w:hAnsi="Arial Narrow"/>
          <w:b w:val="0"/>
          <w:bCs w:val="0"/>
          <w:lang w:val="hr-HR"/>
        </w:rPr>
        <w:t xml:space="preserve"> 20.09.2023.</w:t>
      </w:r>
      <w:r w:rsidRPr="009369CA">
        <w:rPr>
          <w:rFonts w:ascii="Arial Narrow" w:hAnsi="Arial Narrow"/>
          <w:b w:val="0"/>
          <w:bCs w:val="0"/>
          <w:lang w:val="hr-HR"/>
        </w:rPr>
        <w:t xml:space="preserve"> donijelo je</w:t>
      </w:r>
    </w:p>
    <w:p w14:paraId="7E136C10" w14:textId="77777777" w:rsidR="00A36862" w:rsidRPr="009369CA" w:rsidRDefault="00A36862" w:rsidP="00A36862">
      <w:pPr>
        <w:pStyle w:val="BodyText"/>
        <w:rPr>
          <w:rFonts w:ascii="Arial Narrow" w:hAnsi="Arial Narrow"/>
          <w:b w:val="0"/>
          <w:bCs w:val="0"/>
          <w:lang w:val="hr-HR"/>
        </w:rPr>
      </w:pPr>
    </w:p>
    <w:p w14:paraId="62986213" w14:textId="11F76070" w:rsidR="005614D8" w:rsidRPr="008D7524" w:rsidRDefault="00A36862" w:rsidP="00A36862">
      <w:pPr>
        <w:jc w:val="center"/>
        <w:rPr>
          <w:rFonts w:ascii="Arial Narrow" w:hAnsi="Arial Narrow"/>
          <w:b/>
          <w:bCs/>
          <w:sz w:val="24"/>
          <w:szCs w:val="24"/>
        </w:rPr>
      </w:pPr>
      <w:r w:rsidRPr="008D7524">
        <w:rPr>
          <w:rFonts w:ascii="Arial Narrow" w:hAnsi="Arial Narrow"/>
          <w:b/>
          <w:bCs/>
          <w:sz w:val="24"/>
          <w:szCs w:val="24"/>
        </w:rPr>
        <w:t>ODLUKU</w:t>
      </w:r>
    </w:p>
    <w:p w14:paraId="30E43919" w14:textId="10F33DA4" w:rsidR="00A36862" w:rsidRPr="009369CA" w:rsidRDefault="002F715B" w:rsidP="00A36862">
      <w:pPr>
        <w:jc w:val="center"/>
        <w:rPr>
          <w:rFonts w:ascii="Arial Narrow" w:hAnsi="Arial Narrow"/>
          <w:sz w:val="20"/>
          <w:szCs w:val="20"/>
        </w:rPr>
      </w:pPr>
      <w:r w:rsidRPr="009369CA">
        <w:rPr>
          <w:rFonts w:ascii="Arial Narrow" w:hAnsi="Arial Narrow"/>
          <w:sz w:val="20"/>
          <w:szCs w:val="20"/>
        </w:rPr>
        <w:t>o</w:t>
      </w:r>
      <w:r w:rsidR="00A36862" w:rsidRPr="009369CA">
        <w:rPr>
          <w:rFonts w:ascii="Arial Narrow" w:hAnsi="Arial Narrow"/>
          <w:sz w:val="20"/>
          <w:szCs w:val="20"/>
        </w:rPr>
        <w:t xml:space="preserve"> donošenju </w:t>
      </w:r>
    </w:p>
    <w:p w14:paraId="236A9101" w14:textId="4B3C3CCE" w:rsidR="00A36862" w:rsidRPr="008D7524" w:rsidRDefault="00A36862" w:rsidP="008D7524">
      <w:pPr>
        <w:spacing w:after="0"/>
        <w:jc w:val="center"/>
        <w:rPr>
          <w:rFonts w:ascii="Arial Narrow" w:hAnsi="Arial Narrow"/>
          <w:sz w:val="24"/>
          <w:szCs w:val="24"/>
        </w:rPr>
      </w:pPr>
      <w:r w:rsidRPr="008D7524">
        <w:rPr>
          <w:rFonts w:ascii="Arial Narrow" w:hAnsi="Arial Narrow"/>
          <w:sz w:val="24"/>
          <w:szCs w:val="24"/>
        </w:rPr>
        <w:t>II. Izmjena i dopuna Urbanističkog plana uređenja</w:t>
      </w:r>
    </w:p>
    <w:p w14:paraId="45EFB285" w14:textId="543D6721" w:rsidR="00A36862" w:rsidRPr="008D7524" w:rsidRDefault="00A36862" w:rsidP="00A36862">
      <w:pPr>
        <w:jc w:val="center"/>
        <w:rPr>
          <w:rFonts w:ascii="Arial Narrow" w:hAnsi="Arial Narrow"/>
          <w:sz w:val="24"/>
          <w:szCs w:val="24"/>
        </w:rPr>
      </w:pPr>
      <w:r w:rsidRPr="008D7524">
        <w:rPr>
          <w:rFonts w:ascii="Arial Narrow" w:hAnsi="Arial Narrow"/>
          <w:sz w:val="24"/>
          <w:szCs w:val="24"/>
        </w:rPr>
        <w:t xml:space="preserve">Postira </w:t>
      </w:r>
      <w:r w:rsidR="005149EE" w:rsidRPr="008D7524">
        <w:rPr>
          <w:rFonts w:ascii="Arial Narrow" w:hAnsi="Arial Narrow"/>
          <w:sz w:val="24"/>
          <w:szCs w:val="24"/>
        </w:rPr>
        <w:t xml:space="preserve">- </w:t>
      </w:r>
      <w:r w:rsidRPr="008D7524">
        <w:rPr>
          <w:rFonts w:ascii="Arial Narrow" w:hAnsi="Arial Narrow"/>
          <w:sz w:val="24"/>
          <w:szCs w:val="24"/>
        </w:rPr>
        <w:t>Istok: Crna i Bila Ploča – Mala Lozna</w:t>
      </w:r>
    </w:p>
    <w:p w14:paraId="2E94A64B" w14:textId="77777777" w:rsidR="00A36862" w:rsidRPr="009369CA" w:rsidRDefault="00A36862" w:rsidP="00A36862">
      <w:pPr>
        <w:jc w:val="center"/>
        <w:rPr>
          <w:rFonts w:ascii="Arial Narrow" w:hAnsi="Arial Narrow"/>
          <w:sz w:val="20"/>
          <w:szCs w:val="20"/>
        </w:rPr>
      </w:pPr>
    </w:p>
    <w:p w14:paraId="31E929E1" w14:textId="4EFDFC88" w:rsidR="00A36862" w:rsidRPr="009369CA" w:rsidRDefault="00A36862" w:rsidP="00A36862">
      <w:pPr>
        <w:jc w:val="center"/>
        <w:rPr>
          <w:rFonts w:ascii="Arial Narrow" w:hAnsi="Arial Narrow"/>
          <w:b/>
          <w:bCs/>
          <w:sz w:val="20"/>
          <w:szCs w:val="20"/>
        </w:rPr>
      </w:pPr>
      <w:r w:rsidRPr="009369CA">
        <w:rPr>
          <w:rFonts w:ascii="Arial Narrow" w:hAnsi="Arial Narrow"/>
          <w:b/>
          <w:bCs/>
          <w:sz w:val="20"/>
          <w:szCs w:val="20"/>
        </w:rPr>
        <w:t>I.</w:t>
      </w:r>
    </w:p>
    <w:p w14:paraId="16C2C041" w14:textId="6D7693CE" w:rsidR="00A36862" w:rsidRPr="009369CA" w:rsidRDefault="00A36862" w:rsidP="00A36862">
      <w:pPr>
        <w:jc w:val="both"/>
        <w:rPr>
          <w:rFonts w:ascii="Arial Narrow" w:hAnsi="Arial Narrow"/>
          <w:sz w:val="20"/>
          <w:szCs w:val="20"/>
        </w:rPr>
      </w:pPr>
      <w:r w:rsidRPr="009369CA">
        <w:rPr>
          <w:rFonts w:ascii="Arial Narrow" w:hAnsi="Arial Narrow"/>
          <w:sz w:val="20"/>
          <w:szCs w:val="20"/>
        </w:rPr>
        <w:t xml:space="preserve">Donose se II. ID UPU Postira </w:t>
      </w:r>
      <w:r w:rsidR="005149EE" w:rsidRPr="009369CA">
        <w:rPr>
          <w:rFonts w:ascii="Arial Narrow" w:hAnsi="Arial Narrow"/>
          <w:sz w:val="20"/>
          <w:szCs w:val="20"/>
        </w:rPr>
        <w:t>- I</w:t>
      </w:r>
      <w:r w:rsidRPr="009369CA">
        <w:rPr>
          <w:rFonts w:ascii="Arial Narrow" w:hAnsi="Arial Narrow"/>
          <w:sz w:val="20"/>
          <w:szCs w:val="20"/>
        </w:rPr>
        <w:t xml:space="preserve">stok: Crna i Bila Ploča – Mala Lozna, u daljnjem tekstu Plan. Za ovo područje na snazi je Urbanistički plan uređenja Postira </w:t>
      </w:r>
      <w:r w:rsidR="005149EE" w:rsidRPr="009369CA">
        <w:rPr>
          <w:rFonts w:ascii="Arial Narrow" w:hAnsi="Arial Narrow"/>
          <w:sz w:val="20"/>
          <w:szCs w:val="20"/>
        </w:rPr>
        <w:t xml:space="preserve">- </w:t>
      </w:r>
      <w:r w:rsidRPr="009369CA">
        <w:rPr>
          <w:rFonts w:ascii="Arial Narrow" w:hAnsi="Arial Narrow"/>
          <w:sz w:val="20"/>
          <w:szCs w:val="20"/>
        </w:rPr>
        <w:t>Istok: Crna i Bila Ploča – Mala Lozna (Službeni glasnik Općine Postira br. 6/17 i 6/19</w:t>
      </w:r>
      <w:r w:rsidR="00865F61" w:rsidRPr="009369CA">
        <w:rPr>
          <w:rFonts w:ascii="Arial Narrow" w:hAnsi="Arial Narrow"/>
          <w:sz w:val="20"/>
          <w:szCs w:val="20"/>
        </w:rPr>
        <w:t>)</w:t>
      </w:r>
      <w:r w:rsidRPr="009369CA">
        <w:rPr>
          <w:rFonts w:ascii="Arial Narrow" w:hAnsi="Arial Narrow"/>
          <w:sz w:val="20"/>
          <w:szCs w:val="20"/>
        </w:rPr>
        <w:t>.</w:t>
      </w:r>
    </w:p>
    <w:p w14:paraId="1343C612" w14:textId="3DF3325F" w:rsidR="00A36862" w:rsidRPr="009369CA" w:rsidRDefault="00A36862" w:rsidP="00A36862">
      <w:pPr>
        <w:jc w:val="center"/>
        <w:rPr>
          <w:rFonts w:ascii="Arial Narrow" w:hAnsi="Arial Narrow"/>
          <w:b/>
          <w:bCs/>
          <w:sz w:val="20"/>
          <w:szCs w:val="20"/>
        </w:rPr>
      </w:pPr>
      <w:r w:rsidRPr="009369CA">
        <w:rPr>
          <w:rFonts w:ascii="Arial Narrow" w:hAnsi="Arial Narrow"/>
          <w:b/>
          <w:bCs/>
          <w:sz w:val="20"/>
          <w:szCs w:val="20"/>
        </w:rPr>
        <w:t>II.</w:t>
      </w:r>
    </w:p>
    <w:p w14:paraId="1CBAC8CA" w14:textId="6F4F798A" w:rsidR="00A36862" w:rsidRPr="009369CA" w:rsidRDefault="00A36862" w:rsidP="00A36862">
      <w:pPr>
        <w:jc w:val="both"/>
        <w:rPr>
          <w:rFonts w:ascii="Arial Narrow" w:hAnsi="Arial Narrow"/>
          <w:sz w:val="20"/>
          <w:szCs w:val="20"/>
        </w:rPr>
      </w:pPr>
      <w:r w:rsidRPr="009369CA">
        <w:rPr>
          <w:rFonts w:ascii="Arial Narrow" w:hAnsi="Arial Narrow"/>
          <w:sz w:val="20"/>
          <w:szCs w:val="20"/>
        </w:rPr>
        <w:t>Plan je izrađen na Sveučilištu u Zagrebu Arhitektonski fakultet, Zavod za urbanizam, prostorno planiranje i pejzažnu arhitekturu iz Zagreba. pod vodstvom odgovornog voditelja Prof.dr.sc. Nenada Lipovca, dipl.ing.arh.</w:t>
      </w:r>
    </w:p>
    <w:p w14:paraId="0B13599E" w14:textId="03829EB3" w:rsidR="00A36862" w:rsidRPr="009369CA" w:rsidRDefault="00A36862" w:rsidP="00A36862">
      <w:pPr>
        <w:jc w:val="center"/>
        <w:rPr>
          <w:rFonts w:ascii="Arial Narrow" w:hAnsi="Arial Narrow"/>
          <w:b/>
          <w:bCs/>
          <w:sz w:val="20"/>
          <w:szCs w:val="20"/>
        </w:rPr>
      </w:pPr>
      <w:r w:rsidRPr="009369CA">
        <w:rPr>
          <w:rFonts w:ascii="Arial Narrow" w:hAnsi="Arial Narrow"/>
          <w:b/>
          <w:bCs/>
          <w:sz w:val="20"/>
          <w:szCs w:val="20"/>
        </w:rPr>
        <w:t>III.</w:t>
      </w:r>
    </w:p>
    <w:p w14:paraId="40517B20" w14:textId="3B0882EE" w:rsidR="00A36862" w:rsidRPr="009369CA" w:rsidRDefault="00A36862" w:rsidP="00A36862">
      <w:pPr>
        <w:jc w:val="both"/>
        <w:rPr>
          <w:rFonts w:ascii="Arial Narrow" w:hAnsi="Arial Narrow"/>
          <w:sz w:val="20"/>
          <w:szCs w:val="20"/>
        </w:rPr>
      </w:pPr>
      <w:r w:rsidRPr="009369CA">
        <w:rPr>
          <w:rFonts w:ascii="Arial Narrow" w:hAnsi="Arial Narrow"/>
          <w:sz w:val="20"/>
          <w:szCs w:val="20"/>
        </w:rPr>
        <w:t>Plan se sastoji od jedne knjige koja sadrži:</w:t>
      </w:r>
    </w:p>
    <w:p w14:paraId="525CA87C" w14:textId="77777777" w:rsidR="002F715B" w:rsidRPr="009369CA" w:rsidRDefault="002F715B" w:rsidP="002F715B">
      <w:pPr>
        <w:spacing w:after="0"/>
        <w:jc w:val="both"/>
        <w:rPr>
          <w:rFonts w:ascii="Arial Narrow" w:hAnsi="Arial Narrow"/>
          <w:sz w:val="20"/>
          <w:szCs w:val="20"/>
        </w:rPr>
      </w:pPr>
      <w:r w:rsidRPr="009369CA">
        <w:rPr>
          <w:rFonts w:ascii="Arial Narrow" w:hAnsi="Arial Narrow"/>
          <w:sz w:val="20"/>
          <w:szCs w:val="20"/>
        </w:rPr>
        <w:t>1.</w:t>
      </w:r>
      <w:r w:rsidRPr="009369CA">
        <w:rPr>
          <w:rFonts w:ascii="Arial Narrow" w:hAnsi="Arial Narrow"/>
          <w:sz w:val="20"/>
          <w:szCs w:val="20"/>
        </w:rPr>
        <w:tab/>
        <w:t>ODREDBE ZA PROVEDBU</w:t>
      </w:r>
    </w:p>
    <w:p w14:paraId="094B846F" w14:textId="77777777" w:rsidR="002F715B" w:rsidRPr="009369CA" w:rsidRDefault="002F715B" w:rsidP="002F715B">
      <w:pPr>
        <w:spacing w:after="0"/>
        <w:jc w:val="both"/>
        <w:rPr>
          <w:rFonts w:ascii="Arial Narrow" w:hAnsi="Arial Narrow"/>
          <w:sz w:val="20"/>
          <w:szCs w:val="20"/>
        </w:rPr>
      </w:pPr>
      <w:r w:rsidRPr="009369CA">
        <w:rPr>
          <w:rFonts w:ascii="Arial Narrow" w:hAnsi="Arial Narrow"/>
          <w:sz w:val="20"/>
          <w:szCs w:val="20"/>
        </w:rPr>
        <w:t>2.</w:t>
      </w:r>
      <w:r w:rsidRPr="009369CA">
        <w:rPr>
          <w:rFonts w:ascii="Arial Narrow" w:hAnsi="Arial Narrow"/>
          <w:sz w:val="20"/>
          <w:szCs w:val="20"/>
        </w:rPr>
        <w:tab/>
        <w:t>KARTOGRAFSKI DIO PLANA</w:t>
      </w:r>
    </w:p>
    <w:p w14:paraId="31245DE2"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0.</w:t>
      </w:r>
      <w:r w:rsidRPr="009369CA">
        <w:rPr>
          <w:rFonts w:ascii="Arial Narrow" w:hAnsi="Arial Narrow"/>
          <w:sz w:val="20"/>
          <w:szCs w:val="20"/>
        </w:rPr>
        <w:tab/>
        <w:t>OBUHVAT PLANA NA TOPOGRAFSKO-KATASTARSKOJ PODLOZI</w:t>
      </w:r>
      <w:r w:rsidRPr="009369CA">
        <w:rPr>
          <w:rFonts w:ascii="Arial Narrow" w:hAnsi="Arial Narrow"/>
          <w:sz w:val="20"/>
          <w:szCs w:val="20"/>
        </w:rPr>
        <w:tab/>
        <w:t>1.1.000</w:t>
      </w:r>
    </w:p>
    <w:p w14:paraId="5B326C7C" w14:textId="72883432"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1.</w:t>
      </w:r>
      <w:r w:rsidRPr="009369CA">
        <w:rPr>
          <w:rFonts w:ascii="Arial Narrow" w:hAnsi="Arial Narrow"/>
          <w:sz w:val="20"/>
          <w:szCs w:val="20"/>
        </w:rPr>
        <w:tab/>
        <w:t>KORIŠTENJE I NAMJENA POVRŠINA</w:t>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00F053F9" w:rsidRPr="009369CA">
        <w:rPr>
          <w:rFonts w:ascii="Arial Narrow" w:hAnsi="Arial Narrow"/>
          <w:sz w:val="20"/>
          <w:szCs w:val="20"/>
        </w:rPr>
        <w:tab/>
      </w:r>
      <w:r w:rsidRPr="009369CA">
        <w:rPr>
          <w:rFonts w:ascii="Arial Narrow" w:hAnsi="Arial Narrow"/>
          <w:sz w:val="20"/>
          <w:szCs w:val="20"/>
        </w:rPr>
        <w:tab/>
        <w:t>1:1.000</w:t>
      </w:r>
    </w:p>
    <w:p w14:paraId="3878B288"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2.</w:t>
      </w:r>
      <w:r w:rsidRPr="009369CA">
        <w:rPr>
          <w:rFonts w:ascii="Arial Narrow" w:hAnsi="Arial Narrow"/>
          <w:sz w:val="20"/>
          <w:szCs w:val="20"/>
        </w:rPr>
        <w:tab/>
        <w:t>PROMETNA, ULIČNA I KOMUNALNA INFRASTRUKTURNA MREŽA</w:t>
      </w:r>
      <w:r w:rsidRPr="009369CA">
        <w:rPr>
          <w:rFonts w:ascii="Arial Narrow" w:hAnsi="Arial Narrow"/>
          <w:sz w:val="20"/>
          <w:szCs w:val="20"/>
        </w:rPr>
        <w:tab/>
        <w:t>1:1.000</w:t>
      </w:r>
    </w:p>
    <w:p w14:paraId="0965CAF3"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2.A.</w:t>
      </w:r>
      <w:r w:rsidRPr="009369CA">
        <w:rPr>
          <w:rFonts w:ascii="Arial Narrow" w:hAnsi="Arial Narrow"/>
          <w:sz w:val="20"/>
          <w:szCs w:val="20"/>
        </w:rPr>
        <w:tab/>
        <w:t>Promet</w:t>
      </w:r>
    </w:p>
    <w:p w14:paraId="212780F4"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2.B.</w:t>
      </w:r>
      <w:r w:rsidRPr="009369CA">
        <w:rPr>
          <w:rFonts w:ascii="Arial Narrow" w:hAnsi="Arial Narrow"/>
          <w:sz w:val="20"/>
          <w:szCs w:val="20"/>
        </w:rPr>
        <w:tab/>
        <w:t>Pošta i telekomunikacije i elektroenergetika</w:t>
      </w:r>
    </w:p>
    <w:p w14:paraId="038ADEB8"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2.C.</w:t>
      </w:r>
      <w:r w:rsidRPr="009369CA">
        <w:rPr>
          <w:rFonts w:ascii="Arial Narrow" w:hAnsi="Arial Narrow"/>
          <w:sz w:val="20"/>
          <w:szCs w:val="20"/>
        </w:rPr>
        <w:tab/>
        <w:t>Vodnogospodarski sustavi</w:t>
      </w:r>
    </w:p>
    <w:p w14:paraId="018EF6AA" w14:textId="0EB5BB7A"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3.</w:t>
      </w:r>
      <w:r w:rsidRPr="009369CA">
        <w:rPr>
          <w:rFonts w:ascii="Arial Narrow" w:hAnsi="Arial Narrow"/>
          <w:sz w:val="20"/>
          <w:szCs w:val="20"/>
        </w:rPr>
        <w:tab/>
        <w:t xml:space="preserve">UVJETI KORIŠTENJA, UREĐENJA I ZAŠTITE PROSTORA </w:t>
      </w:r>
      <w:r w:rsidRPr="009369CA">
        <w:rPr>
          <w:rFonts w:ascii="Arial Narrow" w:hAnsi="Arial Narrow"/>
          <w:sz w:val="20"/>
          <w:szCs w:val="20"/>
        </w:rPr>
        <w:tab/>
      </w:r>
      <w:r w:rsidRPr="009369CA">
        <w:rPr>
          <w:rFonts w:ascii="Arial Narrow" w:hAnsi="Arial Narrow"/>
          <w:sz w:val="20"/>
          <w:szCs w:val="20"/>
        </w:rPr>
        <w:tab/>
        <w:t>1:1.000</w:t>
      </w:r>
    </w:p>
    <w:p w14:paraId="6499859D" w14:textId="6E476942"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4.</w:t>
      </w:r>
      <w:r w:rsidRPr="009369CA">
        <w:rPr>
          <w:rFonts w:ascii="Arial Narrow" w:hAnsi="Arial Narrow"/>
          <w:sz w:val="20"/>
          <w:szCs w:val="20"/>
        </w:rPr>
        <w:tab/>
        <w:t xml:space="preserve">NAČIN I UVJETI GRADNJE </w:t>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00F053F9" w:rsidRPr="009369CA">
        <w:rPr>
          <w:rFonts w:ascii="Arial Narrow" w:hAnsi="Arial Narrow"/>
          <w:sz w:val="20"/>
          <w:szCs w:val="20"/>
        </w:rPr>
        <w:tab/>
      </w:r>
      <w:r w:rsidRPr="009369CA">
        <w:rPr>
          <w:rFonts w:ascii="Arial Narrow" w:hAnsi="Arial Narrow"/>
          <w:sz w:val="20"/>
          <w:szCs w:val="20"/>
        </w:rPr>
        <w:tab/>
        <w:t>1:1.000</w:t>
      </w:r>
    </w:p>
    <w:p w14:paraId="70A7B82B"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4.A.</w:t>
      </w:r>
      <w:r w:rsidRPr="009369CA">
        <w:rPr>
          <w:rFonts w:ascii="Arial Narrow" w:hAnsi="Arial Narrow"/>
          <w:sz w:val="20"/>
          <w:szCs w:val="20"/>
        </w:rPr>
        <w:tab/>
        <w:t>Plan parcelacije</w:t>
      </w:r>
    </w:p>
    <w:p w14:paraId="6D5130A5" w14:textId="77777777" w:rsidR="002F715B" w:rsidRPr="009369CA" w:rsidRDefault="002F715B" w:rsidP="002F715B">
      <w:pPr>
        <w:ind w:left="993" w:hanging="426"/>
        <w:jc w:val="both"/>
        <w:rPr>
          <w:rFonts w:ascii="Arial Narrow" w:hAnsi="Arial Narrow"/>
          <w:sz w:val="20"/>
          <w:szCs w:val="20"/>
        </w:rPr>
      </w:pPr>
      <w:r w:rsidRPr="009369CA">
        <w:rPr>
          <w:rFonts w:ascii="Arial Narrow" w:hAnsi="Arial Narrow"/>
          <w:sz w:val="20"/>
          <w:szCs w:val="20"/>
        </w:rPr>
        <w:t>4.B.</w:t>
      </w:r>
      <w:r w:rsidRPr="009369CA">
        <w:rPr>
          <w:rFonts w:ascii="Arial Narrow" w:hAnsi="Arial Narrow"/>
          <w:sz w:val="20"/>
          <w:szCs w:val="20"/>
        </w:rPr>
        <w:tab/>
        <w:t>Uvjeti gradnje</w:t>
      </w:r>
    </w:p>
    <w:p w14:paraId="5EC420DA" w14:textId="77777777" w:rsidR="002F715B" w:rsidRPr="009369CA" w:rsidRDefault="002F715B" w:rsidP="002F715B">
      <w:pPr>
        <w:spacing w:after="0"/>
        <w:jc w:val="both"/>
        <w:rPr>
          <w:rFonts w:ascii="Arial Narrow" w:hAnsi="Arial Narrow"/>
          <w:sz w:val="20"/>
          <w:szCs w:val="20"/>
        </w:rPr>
      </w:pPr>
      <w:r w:rsidRPr="009369CA">
        <w:rPr>
          <w:rFonts w:ascii="Arial Narrow" w:hAnsi="Arial Narrow"/>
          <w:sz w:val="20"/>
          <w:szCs w:val="20"/>
        </w:rPr>
        <w:t>3.</w:t>
      </w:r>
      <w:r w:rsidRPr="009369CA">
        <w:rPr>
          <w:rFonts w:ascii="Arial Narrow" w:hAnsi="Arial Narrow"/>
          <w:sz w:val="20"/>
          <w:szCs w:val="20"/>
        </w:rPr>
        <w:tab/>
        <w:t>OBAVEZNI PRILOZI PLANU</w:t>
      </w:r>
    </w:p>
    <w:p w14:paraId="252D2F3A"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A.</w:t>
      </w:r>
      <w:r w:rsidRPr="009369CA">
        <w:rPr>
          <w:rFonts w:ascii="Arial Narrow" w:hAnsi="Arial Narrow"/>
          <w:sz w:val="20"/>
          <w:szCs w:val="20"/>
        </w:rPr>
        <w:tab/>
        <w:t>OBRAZLOŽENJE PLANA</w:t>
      </w:r>
    </w:p>
    <w:p w14:paraId="51798A5A"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B.</w:t>
      </w:r>
      <w:r w:rsidRPr="009369CA">
        <w:rPr>
          <w:rFonts w:ascii="Arial Narrow" w:hAnsi="Arial Narrow"/>
          <w:sz w:val="20"/>
          <w:szCs w:val="20"/>
        </w:rPr>
        <w:tab/>
        <w:t xml:space="preserve">IZVOD IZ III. IZMJENA I DOPUNA PROSTORNOG PLANA UREĐENJA OPĆINE POSTIRA </w:t>
      </w:r>
    </w:p>
    <w:p w14:paraId="3EBD8712"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C.</w:t>
      </w:r>
      <w:r w:rsidRPr="009369CA">
        <w:rPr>
          <w:rFonts w:ascii="Arial Narrow" w:hAnsi="Arial Narrow"/>
          <w:sz w:val="20"/>
          <w:szCs w:val="20"/>
        </w:rPr>
        <w:tab/>
        <w:t>STRUČNE PODLOGE NA KOJIMA SE TEMELJE PROSTORNO PLANSKA RJEŠENJA</w:t>
      </w:r>
    </w:p>
    <w:p w14:paraId="07F3985B"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D.</w:t>
      </w:r>
      <w:r w:rsidRPr="009369CA">
        <w:rPr>
          <w:rFonts w:ascii="Arial Narrow" w:hAnsi="Arial Narrow"/>
          <w:sz w:val="20"/>
          <w:szCs w:val="20"/>
        </w:rPr>
        <w:tab/>
        <w:t xml:space="preserve">POPIS SEKTORSKIH DOKUMENATA I PROPISA KOJE JE BILO POTREBNO POŠTIVATI U IZRADI PLANA </w:t>
      </w:r>
    </w:p>
    <w:p w14:paraId="2728943B"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E.</w:t>
      </w:r>
      <w:r w:rsidRPr="009369CA">
        <w:rPr>
          <w:rFonts w:ascii="Arial Narrow" w:hAnsi="Arial Narrow"/>
          <w:sz w:val="20"/>
          <w:szCs w:val="20"/>
        </w:rPr>
        <w:tab/>
        <w:t>SUGLASNOST MINISTARSTVA PROSTORNOG UREĐENJA, GRADITELJSTVA I DRŽAVNE IMOVINE</w:t>
      </w:r>
    </w:p>
    <w:p w14:paraId="5ACB659C"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F.</w:t>
      </w:r>
      <w:r w:rsidRPr="009369CA">
        <w:rPr>
          <w:rFonts w:ascii="Arial Narrow" w:hAnsi="Arial Narrow"/>
          <w:sz w:val="20"/>
          <w:szCs w:val="20"/>
        </w:rPr>
        <w:tab/>
        <w:t>IZVJEŠĆE O JAVNOJ RASPRAVI</w:t>
      </w:r>
    </w:p>
    <w:p w14:paraId="48060B21" w14:textId="77777777"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G.</w:t>
      </w:r>
      <w:r w:rsidRPr="009369CA">
        <w:rPr>
          <w:rFonts w:ascii="Arial Narrow" w:hAnsi="Arial Narrow"/>
          <w:sz w:val="20"/>
          <w:szCs w:val="20"/>
        </w:rPr>
        <w:tab/>
        <w:t>EVIDENCIJA POSTUPKA IZRADE I DONOŠENJA PLANA</w:t>
      </w:r>
    </w:p>
    <w:p w14:paraId="795E7559" w14:textId="2AE5DBB0" w:rsidR="00A36862" w:rsidRPr="009369CA" w:rsidRDefault="002F715B" w:rsidP="002F715B">
      <w:pPr>
        <w:ind w:left="993" w:hanging="426"/>
        <w:jc w:val="both"/>
        <w:rPr>
          <w:rFonts w:ascii="Arial Narrow" w:hAnsi="Arial Narrow"/>
          <w:sz w:val="20"/>
          <w:szCs w:val="20"/>
        </w:rPr>
      </w:pPr>
      <w:r w:rsidRPr="009369CA">
        <w:rPr>
          <w:rFonts w:ascii="Arial Narrow" w:hAnsi="Arial Narrow"/>
          <w:sz w:val="20"/>
          <w:szCs w:val="20"/>
        </w:rPr>
        <w:t>H.</w:t>
      </w:r>
      <w:r w:rsidRPr="009369CA">
        <w:rPr>
          <w:rFonts w:ascii="Arial Narrow" w:hAnsi="Arial Narrow"/>
          <w:sz w:val="20"/>
          <w:szCs w:val="20"/>
        </w:rPr>
        <w:tab/>
        <w:t>SAŽETAK ZA JAVNOST</w:t>
      </w:r>
    </w:p>
    <w:p w14:paraId="300148EF" w14:textId="35EE4F5D" w:rsidR="00A36862" w:rsidRPr="009369CA" w:rsidRDefault="002F715B" w:rsidP="002F715B">
      <w:pPr>
        <w:jc w:val="center"/>
        <w:rPr>
          <w:rFonts w:ascii="Arial Narrow" w:hAnsi="Arial Narrow"/>
          <w:b/>
          <w:bCs/>
          <w:sz w:val="20"/>
          <w:szCs w:val="20"/>
        </w:rPr>
      </w:pPr>
      <w:r w:rsidRPr="009369CA">
        <w:rPr>
          <w:rFonts w:ascii="Arial Narrow" w:hAnsi="Arial Narrow"/>
          <w:b/>
          <w:bCs/>
          <w:sz w:val="20"/>
          <w:szCs w:val="20"/>
        </w:rPr>
        <w:t>IV.</w:t>
      </w:r>
    </w:p>
    <w:p w14:paraId="74789550" w14:textId="77777777" w:rsidR="002F715B" w:rsidRPr="009369CA" w:rsidRDefault="002F715B" w:rsidP="002F715B">
      <w:pPr>
        <w:spacing w:after="0"/>
        <w:jc w:val="both"/>
        <w:rPr>
          <w:rFonts w:ascii="Arial Narrow" w:hAnsi="Arial Narrow"/>
          <w:sz w:val="20"/>
          <w:szCs w:val="20"/>
        </w:rPr>
      </w:pPr>
      <w:r w:rsidRPr="009369CA">
        <w:rPr>
          <w:rFonts w:ascii="Arial Narrow" w:hAnsi="Arial Narrow"/>
          <w:sz w:val="20"/>
          <w:szCs w:val="20"/>
        </w:rPr>
        <w:t>Plan je izrađen u 4 (četiri) izvornika ovjerenih potpisom i žigom načelnika te potpisom i žigom predsjednika Općinskog vijeća Općine Postira. Pojedini izvornici se čuvaju se na slijedećim adresama:</w:t>
      </w:r>
    </w:p>
    <w:p w14:paraId="510510DA" w14:textId="1916F970"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 xml:space="preserve">1. </w:t>
      </w:r>
      <w:r w:rsidRPr="009369CA">
        <w:rPr>
          <w:rFonts w:ascii="Arial Narrow" w:hAnsi="Arial Narrow"/>
          <w:sz w:val="20"/>
          <w:szCs w:val="20"/>
        </w:rPr>
        <w:tab/>
        <w:t>Općina Postira – 1 primjerak</w:t>
      </w:r>
    </w:p>
    <w:p w14:paraId="4A645F86" w14:textId="216C094B"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 xml:space="preserve">2. </w:t>
      </w:r>
      <w:r w:rsidRPr="009369CA">
        <w:rPr>
          <w:rFonts w:ascii="Arial Narrow" w:hAnsi="Arial Narrow"/>
          <w:sz w:val="20"/>
          <w:szCs w:val="20"/>
        </w:rPr>
        <w:tab/>
        <w:t>Ministarstvo prostornog uređenja, graditeljstva i državne imovine – 1 primjerak</w:t>
      </w:r>
    </w:p>
    <w:p w14:paraId="07B179D7" w14:textId="48AD4049" w:rsidR="002F715B" w:rsidRPr="009369CA" w:rsidRDefault="002F715B" w:rsidP="002F715B">
      <w:pPr>
        <w:spacing w:after="0"/>
        <w:ind w:left="993" w:hanging="426"/>
        <w:jc w:val="both"/>
        <w:rPr>
          <w:rFonts w:ascii="Arial Narrow" w:hAnsi="Arial Narrow"/>
          <w:sz w:val="20"/>
          <w:szCs w:val="20"/>
        </w:rPr>
      </w:pPr>
      <w:r w:rsidRPr="009369CA">
        <w:rPr>
          <w:rFonts w:ascii="Arial Narrow" w:hAnsi="Arial Narrow"/>
          <w:sz w:val="20"/>
          <w:szCs w:val="20"/>
        </w:rPr>
        <w:t xml:space="preserve">3. </w:t>
      </w:r>
      <w:r w:rsidRPr="009369CA">
        <w:rPr>
          <w:rFonts w:ascii="Arial Narrow" w:hAnsi="Arial Narrow"/>
          <w:sz w:val="20"/>
          <w:szCs w:val="20"/>
        </w:rPr>
        <w:tab/>
        <w:t>Upravni odjel za prostorno uređenje Splitsko-dalmatinske županije, ispostava Supetar – 1 primjerak</w:t>
      </w:r>
    </w:p>
    <w:p w14:paraId="0CEF5B53" w14:textId="398819A5" w:rsidR="00A36862" w:rsidRPr="009369CA" w:rsidRDefault="002F715B" w:rsidP="002F715B">
      <w:pPr>
        <w:ind w:left="993" w:hanging="426"/>
        <w:jc w:val="both"/>
        <w:rPr>
          <w:rFonts w:ascii="Arial Narrow" w:hAnsi="Arial Narrow"/>
          <w:sz w:val="20"/>
          <w:szCs w:val="20"/>
        </w:rPr>
      </w:pPr>
      <w:r w:rsidRPr="009369CA">
        <w:rPr>
          <w:rFonts w:ascii="Arial Narrow" w:hAnsi="Arial Narrow"/>
          <w:sz w:val="20"/>
          <w:szCs w:val="20"/>
        </w:rPr>
        <w:t xml:space="preserve">4. </w:t>
      </w:r>
      <w:r w:rsidRPr="009369CA">
        <w:rPr>
          <w:rFonts w:ascii="Arial Narrow" w:hAnsi="Arial Narrow"/>
          <w:sz w:val="20"/>
          <w:szCs w:val="20"/>
        </w:rPr>
        <w:tab/>
        <w:t>Županijski zavod za prostorno uređenje Splitsko-dalmatinske županije – 1 primjerak</w:t>
      </w:r>
    </w:p>
    <w:p w14:paraId="27053939" w14:textId="5A96FFD7" w:rsidR="002F715B" w:rsidRPr="009369CA" w:rsidRDefault="002F715B" w:rsidP="002F715B">
      <w:pPr>
        <w:jc w:val="center"/>
        <w:rPr>
          <w:rFonts w:ascii="Arial Narrow" w:hAnsi="Arial Narrow"/>
          <w:b/>
          <w:bCs/>
          <w:sz w:val="20"/>
          <w:szCs w:val="20"/>
        </w:rPr>
      </w:pPr>
      <w:r w:rsidRPr="009369CA">
        <w:rPr>
          <w:rFonts w:ascii="Arial Narrow" w:hAnsi="Arial Narrow"/>
          <w:b/>
          <w:bCs/>
          <w:sz w:val="20"/>
          <w:szCs w:val="20"/>
        </w:rPr>
        <w:t>V.</w:t>
      </w:r>
    </w:p>
    <w:p w14:paraId="1F0AF529" w14:textId="29956BB9" w:rsidR="002F715B" w:rsidRPr="009369CA" w:rsidRDefault="002F715B" w:rsidP="00A36862">
      <w:pPr>
        <w:jc w:val="both"/>
        <w:rPr>
          <w:rFonts w:ascii="Arial Narrow" w:hAnsi="Arial Narrow"/>
          <w:sz w:val="20"/>
          <w:szCs w:val="20"/>
        </w:rPr>
      </w:pPr>
      <w:r w:rsidRPr="009369CA">
        <w:rPr>
          <w:rFonts w:ascii="Arial Narrow" w:hAnsi="Arial Narrow"/>
          <w:sz w:val="20"/>
          <w:szCs w:val="20"/>
        </w:rPr>
        <w:t>Plan stupa na snagu drugi dan po objavi u Službenom glasniku Općine Postira</w:t>
      </w:r>
      <w:r w:rsidR="005B1987">
        <w:rPr>
          <w:rFonts w:ascii="Arial Narrow" w:hAnsi="Arial Narrow"/>
          <w:sz w:val="20"/>
          <w:szCs w:val="20"/>
        </w:rPr>
        <w:t>.</w:t>
      </w:r>
    </w:p>
    <w:p w14:paraId="02365861" w14:textId="77777777" w:rsidR="002F715B" w:rsidRPr="009369CA" w:rsidRDefault="002F715B" w:rsidP="00A36862">
      <w:pPr>
        <w:jc w:val="both"/>
        <w:rPr>
          <w:rFonts w:ascii="Arial Narrow" w:hAnsi="Arial Narrow"/>
          <w:sz w:val="20"/>
          <w:szCs w:val="20"/>
        </w:rPr>
      </w:pPr>
    </w:p>
    <w:p w14:paraId="05137C93" w14:textId="104D4CCE" w:rsidR="002F715B" w:rsidRPr="009369CA" w:rsidRDefault="005B1987" w:rsidP="00A36862">
      <w:pPr>
        <w:jc w:val="both"/>
        <w:rPr>
          <w:rFonts w:ascii="Arial Narrow" w:hAnsi="Arial Narrow"/>
          <w:sz w:val="20"/>
          <w:szCs w:val="20"/>
        </w:rPr>
      </w:pPr>
      <w:r>
        <w:rPr>
          <w:rFonts w:ascii="Arial Narrow" w:hAnsi="Arial Narrow"/>
          <w:sz w:val="20"/>
          <w:szCs w:val="20"/>
        </w:rPr>
        <w:t xml:space="preserve">        </w:t>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Pr>
          <w:rFonts w:ascii="Arial Narrow" w:hAnsi="Arial Narrow"/>
          <w:sz w:val="20"/>
          <w:szCs w:val="20"/>
        </w:rPr>
        <w:t xml:space="preserve">                                  </w:t>
      </w:r>
      <w:r w:rsidR="002F715B" w:rsidRPr="009369CA">
        <w:rPr>
          <w:rFonts w:ascii="Arial Narrow" w:hAnsi="Arial Narrow"/>
          <w:sz w:val="20"/>
          <w:szCs w:val="20"/>
        </w:rPr>
        <w:t>predsjednik Općinskog vijeća</w:t>
      </w:r>
    </w:p>
    <w:p w14:paraId="54D42987" w14:textId="5C20B734" w:rsidR="002F715B" w:rsidRPr="009369CA" w:rsidRDefault="002F715B" w:rsidP="00A36862">
      <w:pPr>
        <w:jc w:val="both"/>
        <w:rPr>
          <w:rFonts w:ascii="Arial Narrow" w:hAnsi="Arial Narrow"/>
          <w:sz w:val="20"/>
          <w:szCs w:val="20"/>
        </w:rPr>
      </w:pP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r>
      <w:r w:rsidRPr="009369CA">
        <w:rPr>
          <w:rFonts w:ascii="Arial Narrow" w:hAnsi="Arial Narrow"/>
          <w:sz w:val="20"/>
          <w:szCs w:val="20"/>
        </w:rPr>
        <w:tab/>
        <w:t>Općine Postira</w:t>
      </w:r>
    </w:p>
    <w:p w14:paraId="06814A15" w14:textId="070DE79B" w:rsidR="005B1987" w:rsidRDefault="005B1987" w:rsidP="00A36862">
      <w:pPr>
        <w:jc w:val="both"/>
        <w:rPr>
          <w:rFonts w:ascii="Arial Narrow" w:hAnsi="Arial Narrow"/>
          <w:sz w:val="20"/>
          <w:szCs w:val="20"/>
        </w:rPr>
      </w:pPr>
      <w:r>
        <w:rPr>
          <w:rFonts w:ascii="Arial Narrow" w:hAnsi="Arial Narrow"/>
          <w:sz w:val="20"/>
          <w:szCs w:val="20"/>
        </w:rPr>
        <w:t>KLASA:024-01/23-01/35</w:t>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r>
      <w:r w:rsidR="002F715B" w:rsidRPr="009369CA">
        <w:rPr>
          <w:rFonts w:ascii="Arial Narrow" w:hAnsi="Arial Narrow"/>
          <w:sz w:val="20"/>
          <w:szCs w:val="20"/>
        </w:rPr>
        <w:tab/>
        <w:t>Toni Glavinić</w:t>
      </w:r>
    </w:p>
    <w:p w14:paraId="00324392" w14:textId="74162621" w:rsidR="00487539" w:rsidRDefault="005B1987" w:rsidP="00A36862">
      <w:pPr>
        <w:jc w:val="both"/>
        <w:rPr>
          <w:rFonts w:ascii="Arial Narrow" w:hAnsi="Arial Narrow"/>
        </w:rPr>
      </w:pPr>
      <w:r>
        <w:rPr>
          <w:rFonts w:ascii="Arial Narrow" w:hAnsi="Arial Narrow"/>
          <w:sz w:val="20"/>
          <w:szCs w:val="20"/>
        </w:rPr>
        <w:t>URBROJ: 2181-40-01-23-1</w:t>
      </w:r>
      <w:r w:rsidR="00487539">
        <w:rPr>
          <w:rFonts w:ascii="Arial Narrow" w:hAnsi="Arial Narrow"/>
        </w:rPr>
        <w:br w:type="page"/>
      </w:r>
    </w:p>
    <w:p w14:paraId="51C6AE0E" w14:textId="77777777" w:rsidR="00487539" w:rsidRPr="009369CA" w:rsidRDefault="00487539" w:rsidP="00487539">
      <w:pPr>
        <w:shd w:val="clear" w:color="auto" w:fill="A6A6A6"/>
        <w:rPr>
          <w:rFonts w:ascii="Arial Narrow" w:hAnsi="Arial Narrow" w:cs="Arial"/>
          <w:b/>
          <w:sz w:val="28"/>
          <w:szCs w:val="28"/>
        </w:rPr>
      </w:pPr>
      <w:r w:rsidRPr="009369CA">
        <w:rPr>
          <w:rFonts w:ascii="Arial Narrow" w:hAnsi="Arial Narrow" w:cs="Arial"/>
          <w:b/>
          <w:sz w:val="28"/>
          <w:szCs w:val="28"/>
        </w:rPr>
        <w:lastRenderedPageBreak/>
        <w:t>1.</w:t>
      </w:r>
      <w:r w:rsidRPr="009369CA">
        <w:rPr>
          <w:rFonts w:ascii="Arial Narrow" w:hAnsi="Arial Narrow" w:cs="Arial"/>
          <w:b/>
          <w:sz w:val="28"/>
          <w:szCs w:val="28"/>
        </w:rPr>
        <w:tab/>
        <w:t>OPĆE ODREDBE</w:t>
      </w:r>
    </w:p>
    <w:p w14:paraId="59E55CF7" w14:textId="79A47B55" w:rsidR="00487539" w:rsidRPr="009369CA" w:rsidRDefault="00487539" w:rsidP="00487539">
      <w:pPr>
        <w:pStyle w:val="Default"/>
        <w:jc w:val="center"/>
        <w:rPr>
          <w:rFonts w:ascii="Arial Narrow" w:hAnsi="Arial Narrow"/>
          <w:bCs/>
          <w:color w:val="auto"/>
          <w:sz w:val="20"/>
          <w:szCs w:val="20"/>
        </w:rPr>
      </w:pPr>
      <w:r w:rsidRPr="009369CA">
        <w:rPr>
          <w:rFonts w:ascii="Arial Narrow" w:hAnsi="Arial Narrow"/>
          <w:bCs/>
          <w:color w:val="auto"/>
          <w:sz w:val="20"/>
          <w:szCs w:val="20"/>
        </w:rPr>
        <w:t>Članak 1</w:t>
      </w:r>
    </w:p>
    <w:p w14:paraId="4F2C46B9"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w:t>
      </w:r>
      <w:r w:rsidRPr="009369CA">
        <w:rPr>
          <w:rFonts w:ascii="Arial Narrow" w:hAnsi="Arial Narrow" w:cs="Arial"/>
          <w:bCs/>
          <w:sz w:val="20"/>
          <w:szCs w:val="20"/>
        </w:rPr>
        <w:tab/>
        <w:t>U članku 3, stavak (1) tekst točke 1.2. zamjenjuje se novim koji glasi: „</w:t>
      </w:r>
      <w:r w:rsidRPr="009369CA">
        <w:rPr>
          <w:rFonts w:ascii="Arial Narrow" w:hAnsi="Arial Narrow" w:cs="Arial"/>
          <w:bCs/>
          <w:color w:val="2E74B5" w:themeColor="accent5" w:themeShade="BF"/>
          <w:sz w:val="20"/>
          <w:szCs w:val="20"/>
          <w:u w:val="single"/>
        </w:rPr>
        <w:t>Građevna crta</w:t>
      </w:r>
      <w:r w:rsidRPr="009369CA">
        <w:rPr>
          <w:rFonts w:ascii="Arial Narrow" w:hAnsi="Arial Narrow" w:cs="Arial"/>
          <w:bCs/>
          <w:color w:val="2E74B5" w:themeColor="accent5" w:themeShade="BF"/>
          <w:sz w:val="20"/>
          <w:szCs w:val="20"/>
        </w:rPr>
        <w:t xml:space="preserve"> je crta na kojoj se obvezno mora nalaziti najmanje 50% prednjeg (uličnog) pročelja prizemlja ili prve ulične nadzemne razine (u slučaju kada je pristup građevnoj čestici na višoj strani čestice) glavne (osnovne) zgrade.</w:t>
      </w:r>
      <w:r w:rsidRPr="009369CA">
        <w:rPr>
          <w:rFonts w:ascii="Arial Narrow" w:hAnsi="Arial Narrow" w:cs="Arial"/>
          <w:bCs/>
          <w:sz w:val="20"/>
          <w:szCs w:val="20"/>
        </w:rPr>
        <w:t>“</w:t>
      </w:r>
    </w:p>
    <w:p w14:paraId="70A1FC9F"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(2)</w:t>
      </w:r>
      <w:r w:rsidRPr="009369CA">
        <w:rPr>
          <w:rFonts w:ascii="Arial Narrow" w:hAnsi="Arial Narrow" w:cs="Arial"/>
          <w:bCs/>
          <w:sz w:val="20"/>
          <w:szCs w:val="20"/>
        </w:rPr>
        <w:tab/>
        <w:t>U istom članku i stavku, tekst točke 1.5. zamjenjuje se novim koji glasi: „</w:t>
      </w:r>
      <w:r w:rsidRPr="009369CA">
        <w:rPr>
          <w:rFonts w:ascii="Arial Narrow" w:hAnsi="Arial Narrow" w:cs="Arial"/>
          <w:bCs/>
          <w:color w:val="2E74B5" w:themeColor="accent5" w:themeShade="BF"/>
          <w:sz w:val="20"/>
          <w:szCs w:val="20"/>
          <w:u w:val="single"/>
        </w:rPr>
        <w:t>Krajobrazno uređena površina</w:t>
      </w:r>
      <w:r w:rsidRPr="009369CA">
        <w:rPr>
          <w:rFonts w:ascii="Arial Narrow" w:hAnsi="Arial Narrow" w:cs="Arial"/>
          <w:bCs/>
          <w:color w:val="2E74B5" w:themeColor="accent5" w:themeShade="BF"/>
          <w:sz w:val="20"/>
          <w:szCs w:val="20"/>
        </w:rPr>
        <w:t xml:space="preserve"> je površina čestica predviđenih za uređenje javnih perivojnih površina, koje je zasađeno s nasadima niskog ili visokog zelenila te uređeno pratećim stazama, trgovima i sl.</w:t>
      </w:r>
      <w:r w:rsidRPr="009369CA">
        <w:rPr>
          <w:rFonts w:ascii="Arial Narrow" w:hAnsi="Arial Narrow" w:cs="Arial"/>
          <w:bCs/>
          <w:sz w:val="20"/>
          <w:szCs w:val="20"/>
        </w:rPr>
        <w:t>“</w:t>
      </w:r>
    </w:p>
    <w:p w14:paraId="116562AA"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(3)</w:t>
      </w:r>
      <w:r w:rsidRPr="009369CA">
        <w:rPr>
          <w:rFonts w:ascii="Arial Narrow" w:hAnsi="Arial Narrow" w:cs="Arial"/>
          <w:bCs/>
          <w:sz w:val="20"/>
          <w:szCs w:val="20"/>
        </w:rPr>
        <w:tab/>
        <w:t>U istom članku i stavku, tekst točke 1.6. zamjenjuje se novim koji glasi: „</w:t>
      </w:r>
      <w:r w:rsidRPr="009369CA">
        <w:rPr>
          <w:rFonts w:ascii="Arial Narrow" w:hAnsi="Arial Narrow" w:cs="Tahoma"/>
          <w:bCs/>
          <w:color w:val="2E74B5" w:themeColor="accent5" w:themeShade="BF"/>
          <w:sz w:val="20"/>
          <w:szCs w:val="20"/>
          <w:u w:val="single"/>
        </w:rPr>
        <w:t>Krajobrazno uređeni teren</w:t>
      </w:r>
      <w:r w:rsidRPr="009369CA">
        <w:rPr>
          <w:rFonts w:ascii="Arial Narrow" w:hAnsi="Arial Narrow" w:cs="Tahoma"/>
          <w:bCs/>
          <w:color w:val="2E74B5" w:themeColor="accent5" w:themeShade="BF"/>
          <w:sz w:val="20"/>
          <w:szCs w:val="20"/>
        </w:rPr>
        <w:t xml:space="preserve"> je dio površine građevne čestice, koje je zasađen s nasadima niskog ili visokog zelenila, pratećim stazama, ali bez parkiranja, bazena i sl.</w:t>
      </w:r>
      <w:r w:rsidRPr="009369CA">
        <w:rPr>
          <w:rFonts w:ascii="Arial Narrow" w:hAnsi="Arial Narrow" w:cs="Tahoma"/>
          <w:bCs/>
          <w:sz w:val="20"/>
          <w:szCs w:val="20"/>
        </w:rPr>
        <w:t>“</w:t>
      </w:r>
    </w:p>
    <w:p w14:paraId="7986D3D1"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(4)</w:t>
      </w:r>
      <w:r w:rsidRPr="009369CA">
        <w:rPr>
          <w:rFonts w:ascii="Arial Narrow" w:hAnsi="Arial Narrow" w:cs="Arial"/>
          <w:bCs/>
          <w:sz w:val="20"/>
          <w:szCs w:val="20"/>
        </w:rPr>
        <w:tab/>
        <w:t>U istom članku i stavku, tekst točke 1.8. zamjenjuje se novim koji glasi: „</w:t>
      </w:r>
      <w:r w:rsidRPr="009369CA">
        <w:rPr>
          <w:rFonts w:ascii="Arial Narrow" w:hAnsi="Arial Narrow" w:cs="Tahoma"/>
          <w:bCs/>
          <w:color w:val="2E74B5" w:themeColor="accent5" w:themeShade="BF"/>
          <w:sz w:val="20"/>
          <w:szCs w:val="20"/>
          <w:u w:val="single"/>
        </w:rPr>
        <w:t>Potporni zid</w:t>
      </w:r>
      <w:r w:rsidRPr="009369CA">
        <w:rPr>
          <w:rFonts w:ascii="Arial Narrow" w:hAnsi="Arial Narrow" w:cs="Tahoma"/>
          <w:bCs/>
          <w:color w:val="2E74B5" w:themeColor="accent5" w:themeShade="BF"/>
          <w:sz w:val="20"/>
          <w:szCs w:val="20"/>
        </w:rPr>
        <w:t xml:space="preserve"> je građevina koja se koristi kod izvedbe zasjeka/usjeka terena (kod gradnje građevina visokogradnje), čija vidljiva visina pojedinog dijela zidne plohe ne smije prijeći visinu od 2,00 metra. U slučaju većeg nagiba terena i potrebe izgradnje zida veće visine, isti se mora izvesti stepenasto. Iznimno, moguća je i veća visina potpornog zida (do 2,60 m) kod planiranja i izvedbe potpornih zidova prometnica na dijelu strmog zemljišta.</w:t>
      </w:r>
      <w:r w:rsidRPr="009369CA">
        <w:rPr>
          <w:rFonts w:ascii="Arial Narrow" w:hAnsi="Arial Narrow" w:cs="Tahoma"/>
          <w:bCs/>
          <w:sz w:val="20"/>
          <w:szCs w:val="20"/>
        </w:rPr>
        <w:t>“</w:t>
      </w:r>
    </w:p>
    <w:p w14:paraId="447904BE"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(5)</w:t>
      </w:r>
      <w:r w:rsidRPr="009369CA">
        <w:rPr>
          <w:rFonts w:ascii="Arial Narrow" w:hAnsi="Arial Narrow" w:cs="Arial"/>
          <w:bCs/>
          <w:sz w:val="20"/>
          <w:szCs w:val="20"/>
        </w:rPr>
        <w:tab/>
        <w:t>U istom članku i stavku, tekst točke 1.10 zamjenjuje se novim koji glasi: „</w:t>
      </w:r>
      <w:r w:rsidRPr="009369CA">
        <w:rPr>
          <w:rFonts w:ascii="Arial Narrow" w:hAnsi="Arial Narrow" w:cs="Tahoma"/>
          <w:bCs/>
          <w:color w:val="2E74B5" w:themeColor="accent5" w:themeShade="BF"/>
          <w:sz w:val="20"/>
          <w:szCs w:val="20"/>
          <w:u w:val="single"/>
        </w:rPr>
        <w:t>Gradivi dio građevne čestice</w:t>
      </w:r>
      <w:r w:rsidRPr="009369CA">
        <w:rPr>
          <w:rFonts w:ascii="Arial Narrow" w:hAnsi="Arial Narrow" w:cs="Tahoma"/>
          <w:bCs/>
          <w:color w:val="2E74B5" w:themeColor="accent5" w:themeShade="BF"/>
          <w:sz w:val="20"/>
          <w:szCs w:val="20"/>
        </w:rPr>
        <w:t xml:space="preserve"> je površina građevne čestice unutar koje je moguće smjestiti sve nadzemne dijelove glavne/osnovne i pomoćne zgrade kao i svih pratećih građevina na građevnoj čestici.</w:t>
      </w:r>
      <w:r w:rsidRPr="009369CA">
        <w:rPr>
          <w:rFonts w:ascii="Arial Narrow" w:hAnsi="Arial Narrow" w:cs="Tahoma"/>
          <w:bCs/>
          <w:sz w:val="20"/>
          <w:szCs w:val="20"/>
        </w:rPr>
        <w:t>“</w:t>
      </w:r>
    </w:p>
    <w:p w14:paraId="71B7C4C3"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(6)</w:t>
      </w:r>
      <w:r w:rsidRPr="009369CA">
        <w:rPr>
          <w:rFonts w:ascii="Arial Narrow" w:hAnsi="Arial Narrow" w:cs="Arial"/>
          <w:bCs/>
          <w:sz w:val="20"/>
          <w:szCs w:val="20"/>
        </w:rPr>
        <w:tab/>
        <w:t>U istom članku i stavku, tekst točke 1.11 zamjenjuje se novim koji glasi: „</w:t>
      </w:r>
      <w:r w:rsidRPr="009369CA">
        <w:rPr>
          <w:rFonts w:ascii="Arial Narrow" w:hAnsi="Arial Narrow" w:cs="Tahoma"/>
          <w:bCs/>
          <w:color w:val="2E74B5" w:themeColor="accent5" w:themeShade="BF"/>
          <w:sz w:val="20"/>
          <w:szCs w:val="20"/>
          <w:u w:val="single"/>
        </w:rPr>
        <w:t>Površina za građenje</w:t>
      </w:r>
      <w:r w:rsidRPr="009369CA">
        <w:rPr>
          <w:rFonts w:ascii="Arial Narrow" w:hAnsi="Arial Narrow" w:cs="Tahoma"/>
          <w:bCs/>
          <w:color w:val="2E74B5" w:themeColor="accent5" w:themeShade="BF"/>
          <w:sz w:val="20"/>
          <w:szCs w:val="20"/>
        </w:rPr>
        <w:t xml:space="preserve"> je površina zemljišta građevne čestice na kojoj je moguća gradnja osnovne, prateće i pomoćne građevine.</w:t>
      </w:r>
      <w:r w:rsidRPr="009369CA">
        <w:rPr>
          <w:rFonts w:ascii="Arial Narrow" w:hAnsi="Arial Narrow" w:cs="Tahoma"/>
          <w:bCs/>
          <w:sz w:val="20"/>
          <w:szCs w:val="20"/>
        </w:rPr>
        <w:t>“</w:t>
      </w:r>
    </w:p>
    <w:p w14:paraId="32046194"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(7)</w:t>
      </w:r>
      <w:r w:rsidRPr="009369CA">
        <w:rPr>
          <w:rFonts w:ascii="Arial Narrow" w:hAnsi="Arial Narrow" w:cs="Arial"/>
          <w:bCs/>
          <w:sz w:val="20"/>
          <w:szCs w:val="20"/>
        </w:rPr>
        <w:tab/>
        <w:t>U istom članku i stavku, iza točke 1.11 dodaje se točka 1.12. čiji tekst glasi: „</w:t>
      </w:r>
      <w:r w:rsidRPr="009369CA">
        <w:rPr>
          <w:rFonts w:ascii="Arial Narrow" w:hAnsi="Arial Narrow" w:cs="Tahoma"/>
          <w:bCs/>
          <w:color w:val="2E74B5" w:themeColor="accent5" w:themeShade="BF"/>
          <w:sz w:val="20"/>
          <w:szCs w:val="20"/>
          <w:u w:val="single"/>
        </w:rPr>
        <w:t>Građevinska bruto površina</w:t>
      </w:r>
      <w:r w:rsidRPr="009369CA">
        <w:rPr>
          <w:rFonts w:ascii="Arial Narrow" w:hAnsi="Arial Narrow" w:cs="Tahoma"/>
          <w:bCs/>
          <w:color w:val="2E74B5" w:themeColor="accent5" w:themeShade="BF"/>
          <w:sz w:val="20"/>
          <w:szCs w:val="20"/>
        </w:rPr>
        <w:t xml:space="preserve"> je zbroj površina svih razina zgrade mjerenih u razini njihovih podova (Po, Su, Pr, K, Pk, Ng). Mjere se obrisi razina s uključenim vanjskim zidovima sa svim oblogama pročelja, osim površine vanjskog dizala koje se dograđuje na postojeću zgradu.</w:t>
      </w:r>
      <w:r w:rsidRPr="009369CA">
        <w:rPr>
          <w:rFonts w:ascii="Arial Narrow" w:hAnsi="Arial Narrow" w:cs="Tahoma"/>
          <w:bCs/>
          <w:sz w:val="20"/>
          <w:szCs w:val="20"/>
        </w:rPr>
        <w:t>“</w:t>
      </w:r>
    </w:p>
    <w:p w14:paraId="6D20449A"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(8)</w:t>
      </w:r>
      <w:r w:rsidRPr="009369CA">
        <w:rPr>
          <w:rFonts w:ascii="Arial Narrow" w:hAnsi="Arial Narrow" w:cs="Arial"/>
          <w:bCs/>
          <w:sz w:val="20"/>
          <w:szCs w:val="20"/>
        </w:rPr>
        <w:tab/>
        <w:t>U istom članku i stavku, tekst točke 2.1. zamjenjuje se novim koji glasi:</w:t>
      </w:r>
      <w:r w:rsidRPr="009369CA">
        <w:rPr>
          <w:rFonts w:ascii="Arial Narrow" w:hAnsi="Arial Narrow" w:cs="Tahoma"/>
          <w:bCs/>
          <w:sz w:val="20"/>
          <w:szCs w:val="20"/>
        </w:rPr>
        <w:t xml:space="preserve"> </w:t>
      </w:r>
      <w:r w:rsidRPr="009369CA">
        <w:rPr>
          <w:rFonts w:ascii="Arial Narrow" w:hAnsi="Arial Narrow" w:cs="Tahoma"/>
          <w:bCs/>
          <w:sz w:val="20"/>
          <w:szCs w:val="20"/>
          <w:u w:val="single"/>
        </w:rPr>
        <w:t>„</w:t>
      </w:r>
      <w:r w:rsidRPr="009369CA">
        <w:rPr>
          <w:rFonts w:ascii="Arial Narrow" w:hAnsi="Arial Narrow" w:cs="Tahoma"/>
          <w:bCs/>
          <w:color w:val="2E74B5" w:themeColor="accent5" w:themeShade="BF"/>
          <w:sz w:val="20"/>
          <w:szCs w:val="20"/>
          <w:u w:val="single"/>
        </w:rPr>
        <w:t>Podrum</w:t>
      </w:r>
      <w:r w:rsidRPr="009369CA">
        <w:rPr>
          <w:rFonts w:ascii="Arial Narrow" w:hAnsi="Arial Narrow" w:cs="Tahoma"/>
          <w:bCs/>
          <w:color w:val="2E74B5" w:themeColor="accent5" w:themeShade="BF"/>
          <w:sz w:val="20"/>
          <w:szCs w:val="20"/>
        </w:rPr>
        <w:t xml:space="preserve"> (Po) je dio zgrade koji je ukopan u okolni prirodni teren najmanje 50% svojeg volumena, odnosno najmanje 80% tlorisne površine podruma mora biti ukopano.</w:t>
      </w:r>
      <w:r w:rsidRPr="009369CA">
        <w:rPr>
          <w:rFonts w:ascii="Arial Narrow" w:hAnsi="Arial Narrow" w:cs="Tahoma"/>
          <w:bCs/>
          <w:sz w:val="20"/>
          <w:szCs w:val="20"/>
        </w:rPr>
        <w:t>“</w:t>
      </w:r>
    </w:p>
    <w:p w14:paraId="09F4BFFC"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(9)</w:t>
      </w:r>
      <w:r w:rsidRPr="009369CA">
        <w:rPr>
          <w:rFonts w:ascii="Arial Narrow" w:hAnsi="Arial Narrow" w:cs="Arial"/>
          <w:bCs/>
          <w:sz w:val="20"/>
          <w:szCs w:val="20"/>
        </w:rPr>
        <w:tab/>
        <w:t xml:space="preserve">U istom članku i stavku, u točki 2.5. riječ </w:t>
      </w:r>
      <w:r w:rsidRPr="009369CA">
        <w:rPr>
          <w:rFonts w:ascii="Arial Narrow" w:hAnsi="Arial Narrow" w:cs="Tahoma"/>
          <w:bCs/>
          <w:sz w:val="20"/>
          <w:szCs w:val="20"/>
          <w:u w:val="single"/>
        </w:rPr>
        <w:t>„</w:t>
      </w:r>
      <w:r w:rsidRPr="009369CA">
        <w:rPr>
          <w:rFonts w:ascii="Arial Narrow" w:hAnsi="Arial Narrow" w:cs="Tahoma"/>
          <w:bCs/>
          <w:color w:val="FF0000"/>
          <w:sz w:val="20"/>
          <w:szCs w:val="20"/>
        </w:rPr>
        <w:t>zadnje etaže</w:t>
      </w:r>
      <w:r w:rsidRPr="009369CA">
        <w:rPr>
          <w:rFonts w:ascii="Arial Narrow" w:hAnsi="Arial Narrow" w:cs="Tahoma"/>
          <w:bCs/>
          <w:sz w:val="20"/>
          <w:szCs w:val="20"/>
        </w:rPr>
        <w:t>“ zamjenjuje se riječju „</w:t>
      </w:r>
      <w:r w:rsidRPr="009369CA">
        <w:rPr>
          <w:rFonts w:ascii="Arial Narrow" w:hAnsi="Arial Narrow" w:cs="Tahoma"/>
          <w:bCs/>
          <w:color w:val="2E74B5" w:themeColor="accent5" w:themeShade="BF"/>
          <w:sz w:val="20"/>
          <w:szCs w:val="20"/>
        </w:rPr>
        <w:t>zadnjeg kata</w:t>
      </w:r>
      <w:r w:rsidRPr="009369CA">
        <w:rPr>
          <w:rFonts w:ascii="Arial Narrow" w:hAnsi="Arial Narrow" w:cs="Tahoma"/>
          <w:bCs/>
          <w:sz w:val="20"/>
          <w:szCs w:val="20"/>
        </w:rPr>
        <w:t>“.</w:t>
      </w:r>
    </w:p>
    <w:p w14:paraId="0D75D9BA"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(10)</w:t>
      </w:r>
      <w:r w:rsidRPr="009369CA">
        <w:rPr>
          <w:rFonts w:ascii="Arial Narrow" w:hAnsi="Arial Narrow" w:cs="Arial"/>
          <w:bCs/>
          <w:sz w:val="20"/>
          <w:szCs w:val="20"/>
        </w:rPr>
        <w:tab/>
        <w:t>U istom članku i stavku, u točki 2.6. riječ „</w:t>
      </w:r>
      <w:r w:rsidRPr="009369CA">
        <w:rPr>
          <w:rFonts w:ascii="Arial Narrow" w:hAnsi="Arial Narrow" w:cs="Tahoma"/>
          <w:bCs/>
          <w:color w:val="FF0000"/>
          <w:sz w:val="20"/>
          <w:szCs w:val="20"/>
        </w:rPr>
        <w:t>zadnje etaže</w:t>
      </w:r>
      <w:r w:rsidRPr="009369CA">
        <w:rPr>
          <w:rFonts w:ascii="Arial Narrow" w:hAnsi="Arial Narrow" w:cs="Tahoma"/>
          <w:bCs/>
          <w:sz w:val="20"/>
          <w:szCs w:val="20"/>
        </w:rPr>
        <w:t>“ zamjenjuje se riječju „</w:t>
      </w:r>
      <w:r w:rsidRPr="009369CA">
        <w:rPr>
          <w:rFonts w:ascii="Arial Narrow" w:hAnsi="Arial Narrow" w:cs="Tahoma"/>
          <w:bCs/>
          <w:color w:val="2E74B5" w:themeColor="accent5" w:themeShade="BF"/>
          <w:sz w:val="20"/>
          <w:szCs w:val="20"/>
        </w:rPr>
        <w:t>zadnjeg kata</w:t>
      </w:r>
      <w:r w:rsidRPr="009369CA">
        <w:rPr>
          <w:rFonts w:ascii="Arial Narrow" w:hAnsi="Arial Narrow" w:cs="Tahoma"/>
          <w:bCs/>
          <w:sz w:val="20"/>
          <w:szCs w:val="20"/>
        </w:rPr>
        <w:t>“, a riječ „</w:t>
      </w:r>
      <w:r w:rsidRPr="009369CA">
        <w:rPr>
          <w:rFonts w:ascii="Arial Narrow" w:hAnsi="Arial Narrow" w:cs="Tahoma"/>
          <w:bCs/>
          <w:color w:val="FF0000"/>
          <w:sz w:val="20"/>
          <w:szCs w:val="20"/>
        </w:rPr>
        <w:t>prostora</w:t>
      </w:r>
      <w:r w:rsidRPr="009369CA">
        <w:rPr>
          <w:rFonts w:ascii="Arial Narrow" w:hAnsi="Arial Narrow" w:cs="Tahoma"/>
          <w:bCs/>
          <w:sz w:val="20"/>
          <w:szCs w:val="20"/>
        </w:rPr>
        <w:t>“ riječju „</w:t>
      </w:r>
      <w:r w:rsidRPr="009369CA">
        <w:rPr>
          <w:rFonts w:ascii="Arial Narrow" w:hAnsi="Arial Narrow" w:cs="Tahoma"/>
          <w:bCs/>
          <w:color w:val="2E74B5" w:themeColor="accent5" w:themeShade="BF"/>
          <w:sz w:val="20"/>
          <w:szCs w:val="20"/>
        </w:rPr>
        <w:t>kata</w:t>
      </w:r>
      <w:r w:rsidRPr="009369CA">
        <w:rPr>
          <w:rFonts w:ascii="Arial Narrow" w:hAnsi="Arial Narrow" w:cs="Tahoma"/>
          <w:bCs/>
          <w:sz w:val="20"/>
          <w:szCs w:val="20"/>
        </w:rPr>
        <w:t>“</w:t>
      </w:r>
    </w:p>
    <w:p w14:paraId="7D2E6A5E"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(11)</w:t>
      </w:r>
      <w:r w:rsidRPr="009369CA">
        <w:rPr>
          <w:rFonts w:ascii="Arial Narrow" w:hAnsi="Arial Narrow" w:cs="Arial"/>
          <w:bCs/>
          <w:sz w:val="20"/>
          <w:szCs w:val="20"/>
        </w:rPr>
        <w:tab/>
        <w:t>U istom članku i stavku, tekst točke 2.7. zamjenjuje se novim koji glasi:</w:t>
      </w:r>
      <w:r w:rsidRPr="009369CA">
        <w:rPr>
          <w:rFonts w:ascii="Arial Narrow" w:hAnsi="Arial Narrow" w:cs="Tahoma"/>
          <w:bCs/>
          <w:sz w:val="20"/>
          <w:szCs w:val="20"/>
        </w:rPr>
        <w:t xml:space="preserve"> </w:t>
      </w:r>
      <w:r w:rsidRPr="009369CA">
        <w:rPr>
          <w:rFonts w:ascii="Arial Narrow" w:hAnsi="Arial Narrow" w:cs="Tahoma"/>
          <w:bCs/>
          <w:sz w:val="20"/>
          <w:szCs w:val="20"/>
          <w:u w:val="single"/>
        </w:rPr>
        <w:t>„</w:t>
      </w:r>
      <w:r w:rsidRPr="009369CA">
        <w:rPr>
          <w:rFonts w:ascii="Arial Narrow" w:hAnsi="Arial Narrow" w:cs="Tahoma"/>
          <w:bCs/>
          <w:color w:val="2E74B5" w:themeColor="accent5" w:themeShade="BF"/>
          <w:sz w:val="20"/>
          <w:szCs w:val="20"/>
          <w:u w:val="single"/>
        </w:rPr>
        <w:t xml:space="preserve">Nadgrađe </w:t>
      </w:r>
      <w:r w:rsidRPr="009369CA">
        <w:rPr>
          <w:rFonts w:ascii="Arial Narrow" w:hAnsi="Arial Narrow" w:cs="Tahoma"/>
          <w:bCs/>
          <w:color w:val="2E74B5" w:themeColor="accent5" w:themeShade="BF"/>
          <w:sz w:val="20"/>
          <w:szCs w:val="20"/>
        </w:rPr>
        <w:t>(Ng) je dio zgrade (svjetlarnik stubišta, kućica od dizala, izlaz na prohodnu terasu s ugostiteljskim sadržajem koji koristi uređenu prohodnu terasu ili garažni prostor u slučaju kada je kolni pristup s prometnice koja je iznad građevne čestice) koji se nalazi iznad posljednjeg kata, a njegova površina ne može biti veća od 20% površine kata ispod, a natkrivena površina ne veća od 10% površine kata ispod. Ravnina pročelja nadgrađa mora biti uvučena bar 3,00 metra u odnosu na pročelje katova ispod. Visina nadgrađa, kao ni ograda krovne terase, ne uračunava se u najveću dozvoljenu visinu same zgrade.</w:t>
      </w:r>
      <w:r w:rsidRPr="009369CA">
        <w:rPr>
          <w:rFonts w:ascii="Arial Narrow" w:hAnsi="Arial Narrow" w:cs="Tahoma"/>
          <w:bCs/>
          <w:sz w:val="20"/>
          <w:szCs w:val="20"/>
        </w:rPr>
        <w:t>“</w:t>
      </w:r>
    </w:p>
    <w:p w14:paraId="78B38205"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(12)</w:t>
      </w:r>
      <w:r w:rsidRPr="009369CA">
        <w:rPr>
          <w:rFonts w:ascii="Arial Narrow" w:hAnsi="Arial Narrow" w:cs="Arial"/>
          <w:bCs/>
          <w:sz w:val="20"/>
          <w:szCs w:val="20"/>
        </w:rPr>
        <w:tab/>
        <w:t>U istom članku i stavku, u točki 2.9., podtočka b) na kraju rečenice dodaje se tekst koji glasi: „</w:t>
      </w:r>
      <w:r w:rsidRPr="009369CA">
        <w:rPr>
          <w:rFonts w:ascii="Arial Narrow" w:hAnsi="Arial Narrow" w:cs="Arial"/>
          <w:bCs/>
          <w:color w:val="2E74B5" w:themeColor="accent5" w:themeShade="BF"/>
          <w:sz w:val="20"/>
          <w:szCs w:val="20"/>
        </w:rPr>
        <w:t>(visina nadgrađa smije biti najviše 3,00 m bruto)</w:t>
      </w:r>
      <w:r w:rsidRPr="009369CA">
        <w:rPr>
          <w:rFonts w:ascii="Arial Narrow" w:hAnsi="Arial Narrow" w:cs="Arial"/>
          <w:bCs/>
          <w:sz w:val="20"/>
          <w:szCs w:val="20"/>
        </w:rPr>
        <w:t>.</w:t>
      </w:r>
    </w:p>
    <w:p w14:paraId="198FECFC"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(13)</w:t>
      </w:r>
      <w:r w:rsidRPr="009369CA">
        <w:rPr>
          <w:rFonts w:ascii="Arial Narrow" w:hAnsi="Arial Narrow" w:cs="Arial"/>
          <w:bCs/>
          <w:sz w:val="20"/>
          <w:szCs w:val="20"/>
        </w:rPr>
        <w:tab/>
        <w:t>U istom članku i stavku, tekst točke 2.10. zamjenjuje se novim koji glasi:</w:t>
      </w:r>
      <w:r w:rsidRPr="009369CA">
        <w:rPr>
          <w:rFonts w:ascii="Arial Narrow" w:hAnsi="Arial Narrow" w:cs="Tahoma"/>
          <w:bCs/>
          <w:sz w:val="20"/>
          <w:szCs w:val="20"/>
        </w:rPr>
        <w:t xml:space="preserve"> </w:t>
      </w:r>
      <w:r w:rsidRPr="009369CA">
        <w:rPr>
          <w:rFonts w:ascii="Arial Narrow" w:hAnsi="Arial Narrow" w:cs="Tahoma"/>
          <w:bCs/>
          <w:sz w:val="20"/>
          <w:szCs w:val="20"/>
          <w:u w:val="single"/>
        </w:rPr>
        <w:t>„</w:t>
      </w:r>
      <w:r w:rsidRPr="009369CA">
        <w:rPr>
          <w:rFonts w:ascii="Arial Narrow" w:hAnsi="Arial Narrow" w:cs="Tahoma"/>
          <w:bCs/>
          <w:color w:val="2E74B5" w:themeColor="accent5" w:themeShade="BF"/>
          <w:sz w:val="20"/>
          <w:szCs w:val="20"/>
          <w:u w:val="single"/>
        </w:rPr>
        <w:t>Visina zgrade</w:t>
      </w:r>
      <w:r w:rsidRPr="009369CA">
        <w:rPr>
          <w:rFonts w:ascii="Arial Narrow" w:hAnsi="Arial Narrow" w:cs="Tahoma"/>
          <w:bCs/>
          <w:color w:val="2E74B5" w:themeColor="accent5" w:themeShade="BF"/>
          <w:sz w:val="20"/>
          <w:szCs w:val="20"/>
        </w:rPr>
        <w:t xml:space="preserve"> (V</w:t>
      </w:r>
      <w:r w:rsidRPr="009369CA">
        <w:rPr>
          <w:rFonts w:ascii="Arial Narrow" w:hAnsi="Arial Narrow" w:cs="Tahoma"/>
          <w:bCs/>
          <w:color w:val="2E74B5" w:themeColor="accent5" w:themeShade="BF"/>
          <w:sz w:val="20"/>
          <w:szCs w:val="20"/>
          <w:vertAlign w:val="subscript"/>
        </w:rPr>
        <w:t>e</w:t>
      </w:r>
      <w:r w:rsidRPr="009369CA">
        <w:rPr>
          <w:rFonts w:ascii="Arial Narrow" w:hAnsi="Arial Narrow" w:cs="Tahoma"/>
          <w:bCs/>
          <w:color w:val="2E74B5" w:themeColor="accent5" w:themeShade="BF"/>
          <w:sz w:val="20"/>
          <w:szCs w:val="20"/>
        </w:rPr>
        <w:t xml:space="preserve">) mjeri se brojem nadzemnih razina zgrade. Broj nadzemnih razina na kosom terenu mjeri se na najotvorenijem pročelju. </w:t>
      </w:r>
      <w:r w:rsidRPr="009369CA">
        <w:rPr>
          <w:rFonts w:ascii="Arial Narrow" w:hAnsi="Arial Narrow" w:cs="Arial"/>
          <w:bCs/>
          <w:color w:val="2E74B5" w:themeColor="accent5" w:themeShade="BF"/>
          <w:sz w:val="20"/>
          <w:szCs w:val="20"/>
        </w:rPr>
        <w:t>Nadzemnim razinama zgrade smatraju se: suteren, prizemlje, katovi, potkrovlje.</w:t>
      </w:r>
      <w:r w:rsidRPr="009369CA">
        <w:rPr>
          <w:rFonts w:ascii="Arial Narrow" w:hAnsi="Arial Narrow" w:cs="Arial"/>
          <w:bCs/>
          <w:sz w:val="20"/>
          <w:szCs w:val="20"/>
        </w:rPr>
        <w:t>“</w:t>
      </w:r>
    </w:p>
    <w:p w14:paraId="41833A11"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(14)</w:t>
      </w:r>
      <w:r w:rsidRPr="009369CA">
        <w:rPr>
          <w:rFonts w:ascii="Arial Narrow" w:hAnsi="Arial Narrow" w:cs="Arial"/>
          <w:bCs/>
          <w:sz w:val="20"/>
          <w:szCs w:val="20"/>
        </w:rPr>
        <w:tab/>
        <w:t>U istom članku i stavku, u točki 2.11. riječ „</w:t>
      </w:r>
      <w:r w:rsidRPr="009369CA">
        <w:rPr>
          <w:rFonts w:ascii="Arial Narrow" w:hAnsi="Arial Narrow" w:cs="Tahoma"/>
          <w:bCs/>
          <w:color w:val="FF0000"/>
          <w:sz w:val="20"/>
          <w:szCs w:val="20"/>
        </w:rPr>
        <w:t>etaže</w:t>
      </w:r>
      <w:r w:rsidRPr="009369CA">
        <w:rPr>
          <w:rFonts w:ascii="Arial Narrow" w:hAnsi="Arial Narrow" w:cs="Tahoma"/>
          <w:bCs/>
          <w:sz w:val="20"/>
          <w:szCs w:val="20"/>
        </w:rPr>
        <w:t>“ zamjenjuje se riječima „</w:t>
      </w:r>
      <w:r w:rsidRPr="009369CA">
        <w:rPr>
          <w:rFonts w:ascii="Arial Narrow" w:hAnsi="Arial Narrow" w:cs="Tahoma"/>
          <w:bCs/>
          <w:color w:val="2E74B5" w:themeColor="accent5" w:themeShade="BF"/>
          <w:sz w:val="20"/>
          <w:szCs w:val="20"/>
        </w:rPr>
        <w:t>nadzemne razine</w:t>
      </w:r>
      <w:r w:rsidRPr="009369CA">
        <w:rPr>
          <w:rFonts w:ascii="Arial Narrow" w:hAnsi="Arial Narrow" w:cs="Tahoma"/>
          <w:bCs/>
          <w:sz w:val="20"/>
          <w:szCs w:val="20"/>
        </w:rPr>
        <w:t>“.</w:t>
      </w:r>
    </w:p>
    <w:p w14:paraId="625772B1"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(15)</w:t>
      </w:r>
      <w:r w:rsidRPr="009369CA">
        <w:rPr>
          <w:rFonts w:ascii="Arial Narrow" w:hAnsi="Arial Narrow" w:cs="Arial"/>
          <w:bCs/>
          <w:sz w:val="20"/>
          <w:szCs w:val="20"/>
        </w:rPr>
        <w:tab/>
        <w:t>U istom članku i stavku, tekst točke 2.13. zamjenjuje se novim koji glasi:</w:t>
      </w:r>
      <w:r w:rsidRPr="009369CA">
        <w:rPr>
          <w:rFonts w:ascii="Arial Narrow" w:hAnsi="Arial Narrow" w:cs="Tahoma"/>
          <w:bCs/>
          <w:sz w:val="20"/>
          <w:szCs w:val="20"/>
        </w:rPr>
        <w:t xml:space="preserve"> </w:t>
      </w:r>
      <w:r w:rsidRPr="009369CA">
        <w:rPr>
          <w:rFonts w:ascii="Arial Narrow" w:hAnsi="Arial Narrow" w:cs="Tahoma"/>
          <w:bCs/>
          <w:sz w:val="20"/>
          <w:szCs w:val="20"/>
          <w:u w:val="single"/>
        </w:rPr>
        <w:t>„</w:t>
      </w:r>
      <w:r w:rsidRPr="009369CA">
        <w:rPr>
          <w:rFonts w:ascii="Arial Narrow" w:hAnsi="Arial Narrow" w:cs="Tahoma"/>
          <w:bCs/>
          <w:color w:val="2E74B5" w:themeColor="accent5" w:themeShade="BF"/>
          <w:sz w:val="20"/>
          <w:szCs w:val="20"/>
          <w:u w:val="single"/>
        </w:rPr>
        <w:t>Loggia</w:t>
      </w:r>
      <w:r w:rsidRPr="009369CA">
        <w:rPr>
          <w:rFonts w:ascii="Arial Narrow" w:hAnsi="Arial Narrow" w:cs="Tahoma"/>
          <w:bCs/>
          <w:color w:val="2E74B5" w:themeColor="accent5" w:themeShade="BF"/>
          <w:sz w:val="20"/>
          <w:szCs w:val="20"/>
        </w:rPr>
        <w:t xml:space="preserve"> je poluotvoreni dio pojedine nadzemne razine zgrade, koji može djelomično izlaziti izvan obrisa zgrade (do najviše 1/3 širine loggie) i biti natkriven najmanje 70% površine loggie</w:t>
      </w:r>
      <w:r w:rsidRPr="009369CA">
        <w:rPr>
          <w:rFonts w:ascii="Arial Narrow" w:hAnsi="Arial Narrow" w:cs="Tahoma"/>
          <w:bCs/>
          <w:sz w:val="20"/>
          <w:szCs w:val="20"/>
        </w:rPr>
        <w:t>.“</w:t>
      </w:r>
    </w:p>
    <w:p w14:paraId="4FD7EC4E"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(16)</w:t>
      </w:r>
      <w:r w:rsidRPr="009369CA">
        <w:rPr>
          <w:rFonts w:ascii="Arial Narrow" w:hAnsi="Arial Narrow" w:cs="Arial"/>
          <w:bCs/>
          <w:sz w:val="20"/>
          <w:szCs w:val="20"/>
        </w:rPr>
        <w:tab/>
        <w:t>U istom članku i  stavku, u točki 3.1., između riječi „</w:t>
      </w:r>
      <w:r w:rsidRPr="009369CA">
        <w:rPr>
          <w:rFonts w:ascii="Arial Narrow" w:hAnsi="Arial Narrow" w:cs="Arial"/>
          <w:bCs/>
          <w:sz w:val="20"/>
          <w:szCs w:val="20"/>
          <w:u w:val="single"/>
        </w:rPr>
        <w:t>Glavna zgrada</w:t>
      </w:r>
      <w:r w:rsidRPr="009369CA">
        <w:rPr>
          <w:rFonts w:ascii="Arial Narrow" w:hAnsi="Arial Narrow" w:cs="Arial"/>
          <w:bCs/>
          <w:sz w:val="20"/>
          <w:szCs w:val="20"/>
        </w:rPr>
        <w:t>“ umeće se zagrada: „</w:t>
      </w:r>
      <w:r w:rsidRPr="009369CA">
        <w:rPr>
          <w:rFonts w:ascii="Arial Narrow" w:hAnsi="Arial Narrow" w:cs="Arial"/>
          <w:bCs/>
          <w:color w:val="2E74B5" w:themeColor="accent5" w:themeShade="BF"/>
          <w:sz w:val="20"/>
          <w:szCs w:val="20"/>
          <w:u w:val="single"/>
        </w:rPr>
        <w:t>(osnovna)</w:t>
      </w:r>
      <w:r w:rsidRPr="009369CA">
        <w:rPr>
          <w:rFonts w:ascii="Arial Narrow" w:hAnsi="Arial Narrow" w:cs="Arial"/>
          <w:bCs/>
          <w:sz w:val="20"/>
          <w:szCs w:val="20"/>
        </w:rPr>
        <w:t>“</w:t>
      </w:r>
    </w:p>
    <w:p w14:paraId="29915DC7"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(17)</w:t>
      </w:r>
      <w:r w:rsidRPr="009369CA">
        <w:rPr>
          <w:rFonts w:ascii="Arial Narrow" w:hAnsi="Arial Narrow" w:cs="Arial"/>
          <w:bCs/>
          <w:sz w:val="20"/>
          <w:szCs w:val="20"/>
        </w:rPr>
        <w:tab/>
        <w:t>U istom članku i stavku, tekst točke 3.2. zamjenjuje se novim koji glasi:</w:t>
      </w:r>
      <w:r w:rsidRPr="009369CA">
        <w:rPr>
          <w:rFonts w:ascii="Arial Narrow" w:hAnsi="Arial Narrow" w:cs="Tahoma"/>
          <w:bCs/>
          <w:sz w:val="20"/>
          <w:szCs w:val="20"/>
        </w:rPr>
        <w:t xml:space="preserve"> </w:t>
      </w:r>
      <w:r w:rsidRPr="009369CA">
        <w:rPr>
          <w:rFonts w:ascii="Arial Narrow" w:hAnsi="Arial Narrow" w:cs="Tahoma"/>
          <w:bCs/>
          <w:sz w:val="20"/>
          <w:szCs w:val="20"/>
          <w:u w:val="single"/>
        </w:rPr>
        <w:t>„</w:t>
      </w:r>
      <w:r w:rsidRPr="009369CA">
        <w:rPr>
          <w:rFonts w:ascii="Arial Narrow" w:hAnsi="Arial Narrow" w:cs="Tahoma"/>
          <w:bCs/>
          <w:color w:val="2E74B5" w:themeColor="accent5" w:themeShade="BF"/>
          <w:sz w:val="20"/>
          <w:szCs w:val="20"/>
          <w:u w:val="single"/>
        </w:rPr>
        <w:t>Prateća građevina</w:t>
      </w:r>
      <w:r w:rsidRPr="009369CA">
        <w:rPr>
          <w:rFonts w:ascii="Arial Narrow" w:hAnsi="Arial Narrow" w:cs="Tahoma"/>
          <w:bCs/>
          <w:color w:val="2E74B5" w:themeColor="accent5" w:themeShade="BF"/>
          <w:sz w:val="20"/>
          <w:szCs w:val="20"/>
        </w:rPr>
        <w:t xml:space="preserve"> je građevina koja svojom namjenom upotpunjuje glavnu (osnovnu) zgradu na građevnoj čestici.</w:t>
      </w:r>
      <w:r w:rsidRPr="009369CA">
        <w:rPr>
          <w:rFonts w:ascii="Arial Narrow" w:hAnsi="Arial Narrow" w:cs="Tahoma"/>
          <w:bCs/>
          <w:sz w:val="20"/>
          <w:szCs w:val="20"/>
        </w:rPr>
        <w:t>“</w:t>
      </w:r>
    </w:p>
    <w:p w14:paraId="48C77548"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(18)</w:t>
      </w:r>
      <w:r w:rsidRPr="009369CA">
        <w:rPr>
          <w:rFonts w:ascii="Arial Narrow" w:hAnsi="Arial Narrow" w:cs="Arial"/>
          <w:bCs/>
          <w:sz w:val="20"/>
          <w:szCs w:val="20"/>
        </w:rPr>
        <w:tab/>
        <w:t xml:space="preserve">U istom članku i stavku, iza točke 3.4. dodaju se četiri nove točke čiji tekst glasi: </w:t>
      </w:r>
    </w:p>
    <w:p w14:paraId="26EB2AC4" w14:textId="77777777" w:rsidR="00487539" w:rsidRPr="009369CA" w:rsidRDefault="00487539" w:rsidP="00487539">
      <w:pPr>
        <w:spacing w:after="0"/>
        <w:rPr>
          <w:rFonts w:ascii="Arial Narrow" w:hAnsi="Arial Narrow" w:cs="Tahoma"/>
          <w:bCs/>
          <w:color w:val="2E74B5" w:themeColor="accent5" w:themeShade="BF"/>
          <w:sz w:val="20"/>
          <w:szCs w:val="20"/>
        </w:rPr>
      </w:pPr>
      <w:r w:rsidRPr="009369CA">
        <w:rPr>
          <w:rFonts w:ascii="Arial Narrow" w:hAnsi="Arial Narrow" w:cs="Tahoma"/>
          <w:bCs/>
          <w:sz w:val="20"/>
          <w:szCs w:val="20"/>
        </w:rPr>
        <w:t>„</w:t>
      </w:r>
      <w:r w:rsidRPr="009369CA">
        <w:rPr>
          <w:rFonts w:ascii="Arial Narrow" w:hAnsi="Arial Narrow" w:cs="Tahoma"/>
          <w:bCs/>
          <w:color w:val="2E74B5" w:themeColor="accent5" w:themeShade="BF"/>
          <w:sz w:val="20"/>
          <w:szCs w:val="20"/>
        </w:rPr>
        <w:t>3.5.</w:t>
      </w:r>
      <w:r w:rsidRPr="009369CA">
        <w:rPr>
          <w:rFonts w:ascii="Arial Narrow" w:hAnsi="Arial Narrow" w:cs="Tahoma"/>
          <w:bCs/>
          <w:color w:val="2E74B5" w:themeColor="accent5" w:themeShade="BF"/>
          <w:sz w:val="20"/>
          <w:szCs w:val="20"/>
        </w:rPr>
        <w:tab/>
      </w:r>
      <w:r w:rsidRPr="009369CA">
        <w:rPr>
          <w:rFonts w:ascii="Arial Narrow" w:hAnsi="Arial Narrow" w:cs="Tahoma"/>
          <w:bCs/>
          <w:color w:val="2E74B5" w:themeColor="accent5" w:themeShade="BF"/>
          <w:sz w:val="20"/>
          <w:szCs w:val="20"/>
          <w:u w:val="single"/>
        </w:rPr>
        <w:t>Pomoćna građevina</w:t>
      </w:r>
      <w:r w:rsidRPr="009369CA">
        <w:rPr>
          <w:rFonts w:ascii="Arial Narrow" w:hAnsi="Arial Narrow" w:cs="Tahoma"/>
          <w:bCs/>
          <w:color w:val="2E74B5" w:themeColor="accent5" w:themeShade="BF"/>
          <w:sz w:val="20"/>
          <w:szCs w:val="20"/>
        </w:rPr>
        <w:t xml:space="preserve"> uz obiteljsku stambenu zgradu su garaže za osobne automobile, nadstrešnice, ljetne kuhinje, drvarnice, spremišta alata, kotlovnice i ostale građevine koje služe korištenju obiteljske stambene zgrade. Visina pomoćne zgrade mora zadovoljiti uvjete propisane odredbama ovog Plana, a u ovisnosti o pretežitoj namjeni. Bazeni površine do 50 m</w:t>
      </w:r>
      <w:r w:rsidRPr="009369CA">
        <w:rPr>
          <w:rFonts w:ascii="Arial Narrow" w:hAnsi="Arial Narrow" w:cs="Tahoma"/>
          <w:bCs/>
          <w:color w:val="2E74B5" w:themeColor="accent5" w:themeShade="BF"/>
          <w:sz w:val="20"/>
          <w:szCs w:val="20"/>
          <w:vertAlign w:val="superscript"/>
        </w:rPr>
        <w:t>2</w:t>
      </w:r>
      <w:r w:rsidRPr="009369CA">
        <w:rPr>
          <w:rFonts w:ascii="Arial Narrow" w:hAnsi="Arial Narrow" w:cs="Tahoma"/>
          <w:bCs/>
          <w:color w:val="2E74B5" w:themeColor="accent5" w:themeShade="BF"/>
          <w:sz w:val="20"/>
          <w:szCs w:val="20"/>
        </w:rPr>
        <w:t xml:space="preserve"> ne uračunavaju se kod izračuna koeficijenta izgrađenosti građevne čestice. Kod planiranja i izvedbe zatvorenog bazena tada se površina bazena uračunava u površinu zgrada za potrebe izračuna koeficijenta izgrađenosti.</w:t>
      </w:r>
    </w:p>
    <w:p w14:paraId="26D4725A" w14:textId="77777777" w:rsidR="00487539" w:rsidRPr="009369CA" w:rsidRDefault="00487539" w:rsidP="00487539">
      <w:pPr>
        <w:spacing w:after="0"/>
        <w:rPr>
          <w:rFonts w:ascii="Arial Narrow" w:hAnsi="Arial Narrow" w:cs="Tahoma"/>
          <w:bCs/>
          <w:color w:val="2E74B5" w:themeColor="accent5" w:themeShade="BF"/>
          <w:sz w:val="20"/>
          <w:szCs w:val="20"/>
        </w:rPr>
      </w:pPr>
      <w:r w:rsidRPr="009369CA">
        <w:rPr>
          <w:rFonts w:ascii="Arial Narrow" w:hAnsi="Arial Narrow" w:cs="Tahoma"/>
          <w:bCs/>
          <w:color w:val="2E74B5" w:themeColor="accent5" w:themeShade="BF"/>
          <w:sz w:val="20"/>
          <w:szCs w:val="20"/>
        </w:rPr>
        <w:t>3.6.</w:t>
      </w:r>
      <w:r w:rsidRPr="009369CA">
        <w:rPr>
          <w:rFonts w:ascii="Arial Narrow" w:hAnsi="Arial Narrow" w:cs="Tahoma"/>
          <w:bCs/>
          <w:color w:val="2E74B5" w:themeColor="accent5" w:themeShade="BF"/>
          <w:sz w:val="20"/>
          <w:szCs w:val="20"/>
        </w:rPr>
        <w:tab/>
      </w:r>
      <w:r w:rsidRPr="009369CA">
        <w:rPr>
          <w:rFonts w:ascii="Arial Narrow" w:hAnsi="Arial Narrow" w:cs="Tahoma"/>
          <w:bCs/>
          <w:color w:val="2E74B5" w:themeColor="accent5" w:themeShade="BF"/>
          <w:sz w:val="20"/>
          <w:szCs w:val="20"/>
          <w:u w:val="single"/>
        </w:rPr>
        <w:t xml:space="preserve">Zamjenska zgrada </w:t>
      </w:r>
      <w:r w:rsidRPr="009369CA">
        <w:rPr>
          <w:rFonts w:ascii="Arial Narrow" w:hAnsi="Arial Narrow" w:cs="Tahoma"/>
          <w:bCs/>
          <w:color w:val="2E74B5" w:themeColor="accent5" w:themeShade="BF"/>
          <w:sz w:val="20"/>
          <w:szCs w:val="20"/>
        </w:rPr>
        <w:t>je nova zgrada izgrađena na mjestu ili u neposrednoj blizini mjesta prethodno uklonjene postojeće zgrade unutar iste građevne čestice, odnosno obuhvata u prostoru kojom se bitno ne mijenja namjena, izgled, veličina i utjecaj na okoliš dotadašnje zgrade.</w:t>
      </w:r>
    </w:p>
    <w:p w14:paraId="3F33B5AC" w14:textId="77777777" w:rsidR="00487539" w:rsidRPr="009369CA" w:rsidRDefault="00487539" w:rsidP="00487539">
      <w:pPr>
        <w:spacing w:after="0"/>
        <w:rPr>
          <w:rFonts w:ascii="Arial Narrow" w:hAnsi="Arial Narrow" w:cs="Tahoma"/>
          <w:bCs/>
          <w:color w:val="2E74B5" w:themeColor="accent5" w:themeShade="BF"/>
          <w:sz w:val="20"/>
          <w:szCs w:val="20"/>
        </w:rPr>
      </w:pPr>
      <w:r w:rsidRPr="009369CA">
        <w:rPr>
          <w:rFonts w:ascii="Arial Narrow" w:hAnsi="Arial Narrow" w:cs="Tahoma"/>
          <w:bCs/>
          <w:color w:val="2E74B5" w:themeColor="accent5" w:themeShade="BF"/>
          <w:sz w:val="20"/>
          <w:szCs w:val="20"/>
        </w:rPr>
        <w:t>3.7.</w:t>
      </w:r>
      <w:r w:rsidRPr="009369CA">
        <w:rPr>
          <w:rFonts w:ascii="Arial Narrow" w:hAnsi="Arial Narrow" w:cs="Tahoma"/>
          <w:bCs/>
          <w:color w:val="2E74B5" w:themeColor="accent5" w:themeShade="BF"/>
          <w:sz w:val="20"/>
          <w:szCs w:val="20"/>
        </w:rPr>
        <w:tab/>
      </w:r>
      <w:r w:rsidRPr="009369CA">
        <w:rPr>
          <w:rFonts w:ascii="Arial Narrow" w:hAnsi="Arial Narrow" w:cs="Tahoma"/>
          <w:bCs/>
          <w:color w:val="2E74B5" w:themeColor="accent5" w:themeShade="BF"/>
          <w:sz w:val="20"/>
          <w:szCs w:val="20"/>
          <w:u w:val="single"/>
        </w:rPr>
        <w:t>Legalno izgrađena zgrada</w:t>
      </w:r>
      <w:r w:rsidRPr="009369CA">
        <w:rPr>
          <w:rFonts w:ascii="Arial Narrow" w:hAnsi="Arial Narrow" w:cs="Tahoma"/>
          <w:bCs/>
          <w:color w:val="2E74B5" w:themeColor="accent5" w:themeShade="BF"/>
          <w:sz w:val="20"/>
          <w:szCs w:val="20"/>
        </w:rPr>
        <w:t xml:space="preserve"> je svaka zgrada koja je izgrađena na temelju građevne dozvole, potvrde glavnog projekta, rješenju o uvjetima građenja ili je izgrađena prije 15.02.1968. g.</w:t>
      </w:r>
    </w:p>
    <w:p w14:paraId="3DCD4C32" w14:textId="77777777" w:rsidR="00487539" w:rsidRPr="009369CA" w:rsidRDefault="00487539" w:rsidP="00487539">
      <w:pPr>
        <w:spacing w:after="60"/>
        <w:rPr>
          <w:rFonts w:ascii="Arial Narrow" w:hAnsi="Arial Narrow" w:cs="Tahoma"/>
          <w:bCs/>
          <w:sz w:val="20"/>
          <w:szCs w:val="20"/>
        </w:rPr>
      </w:pPr>
      <w:r w:rsidRPr="009369CA">
        <w:rPr>
          <w:rFonts w:ascii="Arial Narrow" w:hAnsi="Arial Narrow" w:cs="Tahoma"/>
          <w:bCs/>
          <w:color w:val="2E74B5" w:themeColor="accent5" w:themeShade="BF"/>
          <w:sz w:val="20"/>
          <w:szCs w:val="20"/>
        </w:rPr>
        <w:lastRenderedPageBreak/>
        <w:t>3.8.</w:t>
      </w:r>
      <w:r w:rsidRPr="009369CA">
        <w:rPr>
          <w:rFonts w:ascii="Arial Narrow" w:hAnsi="Arial Narrow" w:cs="Tahoma"/>
          <w:bCs/>
          <w:color w:val="2E74B5" w:themeColor="accent5" w:themeShade="BF"/>
          <w:sz w:val="20"/>
          <w:szCs w:val="20"/>
        </w:rPr>
        <w:tab/>
      </w:r>
      <w:r w:rsidRPr="009369CA">
        <w:rPr>
          <w:rFonts w:ascii="Arial Narrow" w:hAnsi="Arial Narrow" w:cs="Tahoma"/>
          <w:bCs/>
          <w:color w:val="2E74B5" w:themeColor="accent5" w:themeShade="BF"/>
          <w:sz w:val="20"/>
          <w:szCs w:val="20"/>
          <w:u w:val="single"/>
        </w:rPr>
        <w:t>Nova zgrada</w:t>
      </w:r>
      <w:r w:rsidRPr="009369CA">
        <w:rPr>
          <w:rFonts w:ascii="Arial Narrow" w:hAnsi="Arial Narrow" w:cs="Tahoma"/>
          <w:bCs/>
          <w:color w:val="2E74B5" w:themeColor="accent5" w:themeShade="BF"/>
          <w:sz w:val="20"/>
          <w:szCs w:val="20"/>
        </w:rPr>
        <w:t xml:space="preserve"> je zgrada koja će se projektirati i graditi na neizgrađenoj građevnoj čestici ili na mjestu nekad postojeće zgrade i/ili na mjestu zgrade koja se planira rušiti. Ta nova zgrada mora se projektirati u skladu s odredbama za provođenje ovog Plana, a koje se odnose na građenje zgrada određene namjene.</w:t>
      </w:r>
      <w:r w:rsidRPr="009369CA">
        <w:rPr>
          <w:rFonts w:ascii="Arial Narrow" w:hAnsi="Arial Narrow" w:cs="Tahoma"/>
          <w:bCs/>
          <w:sz w:val="20"/>
          <w:szCs w:val="20"/>
        </w:rPr>
        <w:t>“</w:t>
      </w:r>
    </w:p>
    <w:p w14:paraId="07F0E34C" w14:textId="77777777" w:rsidR="00487539" w:rsidRPr="009369CA" w:rsidRDefault="00487539" w:rsidP="00487539">
      <w:pPr>
        <w:spacing w:after="0"/>
        <w:jc w:val="both"/>
        <w:rPr>
          <w:rFonts w:ascii="Arial Narrow" w:hAnsi="Arial Narrow" w:cs="Arial"/>
          <w:bCs/>
          <w:color w:val="2E74B5" w:themeColor="accent5" w:themeShade="BF"/>
          <w:sz w:val="20"/>
          <w:szCs w:val="20"/>
        </w:rPr>
      </w:pPr>
      <w:r w:rsidRPr="009369CA">
        <w:rPr>
          <w:rFonts w:ascii="Arial Narrow" w:hAnsi="Arial Narrow" w:cs="Tahoma"/>
          <w:bCs/>
          <w:sz w:val="20"/>
          <w:szCs w:val="20"/>
        </w:rPr>
        <w:t>(20)</w:t>
      </w:r>
      <w:r w:rsidRPr="009369CA">
        <w:rPr>
          <w:rFonts w:ascii="Arial Narrow" w:hAnsi="Arial Narrow" w:cs="Tahoma"/>
          <w:bCs/>
          <w:sz w:val="20"/>
          <w:szCs w:val="20"/>
        </w:rPr>
        <w:tab/>
        <w:t>U istom članku i stavku, na kraju teksta točke 4.1. dodaje se tekst koji glasi: „</w:t>
      </w:r>
      <w:r w:rsidRPr="009369CA">
        <w:rPr>
          <w:rFonts w:ascii="Arial Narrow" w:hAnsi="Arial Narrow" w:cs="Arial"/>
          <w:bCs/>
          <w:color w:val="2E74B5" w:themeColor="accent5" w:themeShade="BF"/>
          <w:sz w:val="20"/>
          <w:szCs w:val="20"/>
        </w:rPr>
        <w:t>U obiteljskoj stambenoj zgradi može se organizirati i poslovno-trgovačko-ugostiteljski sadržaj u skladu s odgovarajućim Zakonima kojima se regulira vrsta djelatnosti u zgradama čija namjena nije isključivo poslovna. Obzirom na udio poslovnog prostora u obiteljskoj stambenoj zgradi razlikuju se sljedeće zgrade po namjeni:</w:t>
      </w:r>
    </w:p>
    <w:p w14:paraId="3F4C98E0" w14:textId="77777777" w:rsidR="00487539" w:rsidRPr="009369CA" w:rsidRDefault="00487539" w:rsidP="00487539">
      <w:pPr>
        <w:spacing w:after="0"/>
        <w:ind w:left="709" w:hanging="425"/>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w:t>
      </w:r>
      <w:r w:rsidRPr="009369CA">
        <w:rPr>
          <w:rFonts w:ascii="Arial Narrow" w:hAnsi="Arial Narrow" w:cs="Arial"/>
          <w:bCs/>
          <w:color w:val="2E74B5" w:themeColor="accent5" w:themeShade="BF"/>
          <w:sz w:val="20"/>
          <w:szCs w:val="20"/>
        </w:rPr>
        <w:tab/>
        <w:t>obiteljska stambeno–poslovna zgrada u kojoj se najviše 50% građevinske bruto površine koristi kao poslovni prostor</w:t>
      </w:r>
    </w:p>
    <w:p w14:paraId="7891A10A" w14:textId="77777777" w:rsidR="00487539" w:rsidRPr="009369CA" w:rsidRDefault="00487539" w:rsidP="00487539">
      <w:pPr>
        <w:ind w:left="709" w:hanging="425"/>
        <w:rPr>
          <w:rFonts w:ascii="Arial Narrow" w:hAnsi="Arial Narrow" w:cs="Arial"/>
          <w:bCs/>
          <w:sz w:val="20"/>
          <w:szCs w:val="20"/>
        </w:rPr>
      </w:pPr>
      <w:r w:rsidRPr="009369CA">
        <w:rPr>
          <w:rFonts w:ascii="Arial Narrow" w:hAnsi="Arial Narrow" w:cs="Arial"/>
          <w:bCs/>
          <w:color w:val="2E74B5" w:themeColor="accent5" w:themeShade="BF"/>
          <w:sz w:val="20"/>
          <w:szCs w:val="20"/>
        </w:rPr>
        <w:t>-</w:t>
      </w:r>
      <w:r w:rsidRPr="009369CA">
        <w:rPr>
          <w:rFonts w:ascii="Arial Narrow" w:hAnsi="Arial Narrow" w:cs="Arial"/>
          <w:bCs/>
          <w:color w:val="2E74B5" w:themeColor="accent5" w:themeShade="BF"/>
          <w:sz w:val="20"/>
          <w:szCs w:val="20"/>
        </w:rPr>
        <w:tab/>
        <w:t>obiteljska poslovno-stambena zgrada u kojoj se najviše 70% građevinske bruto površine koristi kao poslovni prostor.</w:t>
      </w:r>
      <w:r w:rsidRPr="009369CA">
        <w:rPr>
          <w:rFonts w:ascii="Arial Narrow" w:hAnsi="Arial Narrow" w:cs="Arial"/>
          <w:bCs/>
          <w:sz w:val="20"/>
          <w:szCs w:val="20"/>
        </w:rPr>
        <w:t>“.</w:t>
      </w:r>
    </w:p>
    <w:p w14:paraId="05DBEA68" w14:textId="5574B72F" w:rsidR="00487539" w:rsidRPr="00487539" w:rsidRDefault="00487539" w:rsidP="00487539">
      <w:pPr>
        <w:pStyle w:val="CM42"/>
        <w:spacing w:after="60"/>
        <w:jc w:val="center"/>
        <w:rPr>
          <w:rFonts w:ascii="Arial Narrow" w:hAnsi="Arial Narrow"/>
          <w:bCs/>
          <w:sz w:val="20"/>
          <w:szCs w:val="20"/>
        </w:rPr>
      </w:pPr>
      <w:r w:rsidRPr="00487539">
        <w:rPr>
          <w:rFonts w:ascii="Arial Narrow" w:hAnsi="Arial Narrow"/>
          <w:bCs/>
          <w:sz w:val="20"/>
          <w:szCs w:val="20"/>
        </w:rPr>
        <w:t xml:space="preserve">Članak </w:t>
      </w:r>
      <w:r>
        <w:rPr>
          <w:rFonts w:ascii="Arial Narrow" w:hAnsi="Arial Narrow"/>
          <w:bCs/>
          <w:sz w:val="20"/>
          <w:szCs w:val="20"/>
        </w:rPr>
        <w:t>2</w:t>
      </w:r>
    </w:p>
    <w:p w14:paraId="60BC4F4D" w14:textId="77777777" w:rsidR="00487539" w:rsidRPr="00487539" w:rsidRDefault="00487539" w:rsidP="00487539">
      <w:pPr>
        <w:pStyle w:val="Default"/>
        <w:jc w:val="both"/>
        <w:rPr>
          <w:rFonts w:ascii="Arial Narrow" w:hAnsi="Arial Narrow"/>
          <w:bCs/>
          <w:color w:val="auto"/>
          <w:sz w:val="20"/>
          <w:szCs w:val="20"/>
        </w:rPr>
      </w:pPr>
      <w:r w:rsidRPr="00487539">
        <w:rPr>
          <w:rFonts w:ascii="Arial Narrow" w:hAnsi="Arial Narrow"/>
          <w:bCs/>
          <w:color w:val="auto"/>
          <w:sz w:val="20"/>
          <w:szCs w:val="20"/>
        </w:rPr>
        <w:t xml:space="preserve">(1) </w:t>
      </w:r>
      <w:r w:rsidRPr="00487539">
        <w:rPr>
          <w:rFonts w:ascii="Arial Narrow" w:hAnsi="Arial Narrow"/>
          <w:bCs/>
          <w:color w:val="auto"/>
          <w:sz w:val="20"/>
          <w:szCs w:val="20"/>
        </w:rPr>
        <w:tab/>
        <w:t>U članku 4., tablica u stavku (7) mijenja se i nova glasi:</w:t>
      </w:r>
    </w:p>
    <w:tbl>
      <w:tblPr>
        <w:tblW w:w="96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47"/>
        <w:gridCol w:w="888"/>
        <w:gridCol w:w="1310"/>
        <w:gridCol w:w="1324"/>
        <w:gridCol w:w="1170"/>
      </w:tblGrid>
      <w:tr w:rsidR="00487539" w:rsidRPr="00487539" w14:paraId="452E7133" w14:textId="77777777" w:rsidTr="009D7AF2">
        <w:trPr>
          <w:trHeight w:hRule="exact" w:val="239"/>
          <w:jc w:val="center"/>
        </w:trPr>
        <w:tc>
          <w:tcPr>
            <w:tcW w:w="4947" w:type="dxa"/>
            <w:vMerge w:val="restart"/>
            <w:shd w:val="clear" w:color="auto" w:fill="A6A6A6"/>
          </w:tcPr>
          <w:p w14:paraId="333B2DAA" w14:textId="77777777" w:rsidR="00487539" w:rsidRPr="00487539" w:rsidRDefault="00487539" w:rsidP="009D7AF2">
            <w:pPr>
              <w:pStyle w:val="TableParagraph"/>
              <w:spacing w:before="119" w:line="240" w:lineRule="auto"/>
              <w:ind w:left="103"/>
              <w:jc w:val="left"/>
              <w:rPr>
                <w:bCs/>
                <w:color w:val="2E74B5" w:themeColor="accent5" w:themeShade="BF"/>
                <w:sz w:val="20"/>
                <w:lang w:val="hr-HR"/>
              </w:rPr>
            </w:pPr>
            <w:r w:rsidRPr="00487539">
              <w:rPr>
                <w:bCs/>
                <w:color w:val="2E74B5" w:themeColor="accent5" w:themeShade="BF"/>
                <w:sz w:val="20"/>
                <w:lang w:val="hr-HR"/>
              </w:rPr>
              <w:t>NAMJENA UNUTAR OBUHVATA PLANA</w:t>
            </w:r>
          </w:p>
        </w:tc>
        <w:tc>
          <w:tcPr>
            <w:tcW w:w="888" w:type="dxa"/>
            <w:vMerge w:val="restart"/>
            <w:shd w:val="clear" w:color="auto" w:fill="A6A6A6"/>
          </w:tcPr>
          <w:p w14:paraId="0053B3CB" w14:textId="77777777" w:rsidR="00487539" w:rsidRPr="00487539" w:rsidRDefault="00487539" w:rsidP="009D7AF2">
            <w:pPr>
              <w:pStyle w:val="TableParagraph"/>
              <w:spacing w:before="119" w:line="240" w:lineRule="auto"/>
              <w:ind w:left="102"/>
              <w:jc w:val="left"/>
              <w:rPr>
                <w:bCs/>
                <w:color w:val="2E74B5" w:themeColor="accent5" w:themeShade="BF"/>
                <w:sz w:val="20"/>
                <w:lang w:val="hr-HR"/>
              </w:rPr>
            </w:pPr>
            <w:r w:rsidRPr="00487539">
              <w:rPr>
                <w:bCs/>
                <w:color w:val="2E74B5" w:themeColor="accent5" w:themeShade="BF"/>
                <w:sz w:val="20"/>
                <w:lang w:val="hr-HR"/>
              </w:rPr>
              <w:t>OZNAKA</w:t>
            </w:r>
          </w:p>
        </w:tc>
        <w:tc>
          <w:tcPr>
            <w:tcW w:w="1310" w:type="dxa"/>
            <w:shd w:val="clear" w:color="auto" w:fill="A6A6A6"/>
          </w:tcPr>
          <w:p w14:paraId="26252ED7" w14:textId="77777777" w:rsidR="00487539" w:rsidRPr="00487539" w:rsidRDefault="00487539" w:rsidP="009D7AF2">
            <w:pPr>
              <w:pStyle w:val="TableParagraph"/>
              <w:spacing w:line="240" w:lineRule="auto"/>
              <w:ind w:left="133" w:right="133"/>
              <w:rPr>
                <w:bCs/>
                <w:color w:val="2E74B5" w:themeColor="accent5" w:themeShade="BF"/>
                <w:sz w:val="20"/>
                <w:lang w:val="hr-HR"/>
              </w:rPr>
            </w:pPr>
            <w:r w:rsidRPr="00487539">
              <w:rPr>
                <w:bCs/>
                <w:color w:val="2E74B5" w:themeColor="accent5" w:themeShade="BF"/>
                <w:sz w:val="20"/>
                <w:lang w:val="hr-HR"/>
              </w:rPr>
              <w:t>POSTOJEĆE</w:t>
            </w:r>
          </w:p>
        </w:tc>
        <w:tc>
          <w:tcPr>
            <w:tcW w:w="1324" w:type="dxa"/>
            <w:shd w:val="clear" w:color="auto" w:fill="A6A6A6"/>
          </w:tcPr>
          <w:p w14:paraId="7B82BB81" w14:textId="77777777" w:rsidR="00487539" w:rsidRPr="00487539" w:rsidRDefault="00487539" w:rsidP="009D7AF2">
            <w:pPr>
              <w:pStyle w:val="TableParagraph"/>
              <w:spacing w:line="240" w:lineRule="auto"/>
              <w:ind w:left="172" w:right="154"/>
              <w:rPr>
                <w:bCs/>
                <w:color w:val="2E74B5" w:themeColor="accent5" w:themeShade="BF"/>
                <w:sz w:val="20"/>
                <w:lang w:val="hr-HR"/>
              </w:rPr>
            </w:pPr>
            <w:r w:rsidRPr="00487539">
              <w:rPr>
                <w:bCs/>
                <w:color w:val="2E74B5" w:themeColor="accent5" w:themeShade="BF"/>
                <w:sz w:val="20"/>
                <w:lang w:val="hr-HR"/>
              </w:rPr>
              <w:t>PLANIRANO</w:t>
            </w:r>
          </w:p>
        </w:tc>
        <w:tc>
          <w:tcPr>
            <w:tcW w:w="1170" w:type="dxa"/>
            <w:shd w:val="clear" w:color="auto" w:fill="A6A6A6"/>
            <w:vAlign w:val="center"/>
          </w:tcPr>
          <w:p w14:paraId="61604470" w14:textId="77777777" w:rsidR="00487539" w:rsidRPr="00487539" w:rsidRDefault="00487539" w:rsidP="009D7AF2">
            <w:pPr>
              <w:pStyle w:val="TableParagraph"/>
              <w:spacing w:line="240" w:lineRule="auto"/>
              <w:ind w:left="0"/>
              <w:rPr>
                <w:bCs/>
                <w:color w:val="2E74B5" w:themeColor="accent5" w:themeShade="BF"/>
                <w:sz w:val="20"/>
                <w:lang w:val="hr-HR"/>
              </w:rPr>
            </w:pPr>
            <w:r w:rsidRPr="00487539">
              <w:rPr>
                <w:bCs/>
                <w:color w:val="2E74B5" w:themeColor="accent5" w:themeShade="BF"/>
                <w:sz w:val="20"/>
                <w:lang w:val="hr-HR"/>
              </w:rPr>
              <w:t>UKUPNO</w:t>
            </w:r>
          </w:p>
        </w:tc>
      </w:tr>
      <w:tr w:rsidR="00487539" w:rsidRPr="00487539" w14:paraId="44A5626A" w14:textId="77777777" w:rsidTr="009D7AF2">
        <w:trPr>
          <w:trHeight w:hRule="exact" w:val="239"/>
          <w:jc w:val="center"/>
        </w:trPr>
        <w:tc>
          <w:tcPr>
            <w:tcW w:w="4947" w:type="dxa"/>
            <w:vMerge/>
            <w:shd w:val="clear" w:color="auto" w:fill="A6A6A6"/>
          </w:tcPr>
          <w:p w14:paraId="21B99CAD" w14:textId="77777777" w:rsidR="00487539" w:rsidRPr="00487539" w:rsidRDefault="00487539" w:rsidP="009D7AF2">
            <w:pPr>
              <w:rPr>
                <w:rFonts w:ascii="Arial Narrow" w:hAnsi="Arial Narrow"/>
                <w:bCs/>
                <w:color w:val="2E74B5" w:themeColor="accent5" w:themeShade="BF"/>
              </w:rPr>
            </w:pPr>
          </w:p>
        </w:tc>
        <w:tc>
          <w:tcPr>
            <w:tcW w:w="888" w:type="dxa"/>
            <w:vMerge/>
            <w:shd w:val="clear" w:color="auto" w:fill="A6A6A6"/>
          </w:tcPr>
          <w:p w14:paraId="68BC68F2" w14:textId="77777777" w:rsidR="00487539" w:rsidRPr="00487539" w:rsidRDefault="00487539" w:rsidP="009D7AF2">
            <w:pPr>
              <w:rPr>
                <w:rFonts w:ascii="Arial Narrow" w:hAnsi="Arial Narrow"/>
                <w:bCs/>
                <w:color w:val="2E74B5" w:themeColor="accent5" w:themeShade="BF"/>
              </w:rPr>
            </w:pPr>
          </w:p>
        </w:tc>
        <w:tc>
          <w:tcPr>
            <w:tcW w:w="1310" w:type="dxa"/>
            <w:shd w:val="clear" w:color="auto" w:fill="A6A6A6"/>
          </w:tcPr>
          <w:p w14:paraId="1F12EC6D" w14:textId="77777777" w:rsidR="00487539" w:rsidRPr="00487539" w:rsidRDefault="00487539" w:rsidP="009D7AF2">
            <w:pPr>
              <w:pStyle w:val="TableParagraph"/>
              <w:spacing w:line="240" w:lineRule="auto"/>
              <w:ind w:left="125" w:right="133"/>
              <w:rPr>
                <w:bCs/>
                <w:color w:val="2E74B5" w:themeColor="accent5" w:themeShade="BF"/>
                <w:sz w:val="20"/>
                <w:lang w:val="hr-HR"/>
              </w:rPr>
            </w:pPr>
            <w:r w:rsidRPr="00487539">
              <w:rPr>
                <w:bCs/>
                <w:color w:val="2E74B5" w:themeColor="accent5" w:themeShade="BF"/>
                <w:sz w:val="20"/>
                <w:lang w:val="hr-HR"/>
              </w:rPr>
              <w:t>(ha)</w:t>
            </w:r>
          </w:p>
        </w:tc>
        <w:tc>
          <w:tcPr>
            <w:tcW w:w="1324" w:type="dxa"/>
            <w:shd w:val="clear" w:color="auto" w:fill="A6A6A6"/>
          </w:tcPr>
          <w:p w14:paraId="3404C347" w14:textId="77777777" w:rsidR="00487539" w:rsidRPr="00487539" w:rsidRDefault="00487539" w:rsidP="009D7AF2">
            <w:pPr>
              <w:pStyle w:val="TableParagraph"/>
              <w:spacing w:line="240" w:lineRule="auto"/>
              <w:ind w:left="172" w:right="153"/>
              <w:rPr>
                <w:bCs/>
                <w:color w:val="2E74B5" w:themeColor="accent5" w:themeShade="BF"/>
                <w:sz w:val="20"/>
                <w:lang w:val="hr-HR"/>
              </w:rPr>
            </w:pPr>
            <w:r w:rsidRPr="00487539">
              <w:rPr>
                <w:bCs/>
                <w:color w:val="2E74B5" w:themeColor="accent5" w:themeShade="BF"/>
                <w:sz w:val="20"/>
                <w:lang w:val="hr-HR"/>
              </w:rPr>
              <w:t>(ha)</w:t>
            </w:r>
          </w:p>
        </w:tc>
        <w:tc>
          <w:tcPr>
            <w:tcW w:w="1170" w:type="dxa"/>
            <w:shd w:val="clear" w:color="auto" w:fill="A6A6A6"/>
            <w:vAlign w:val="center"/>
          </w:tcPr>
          <w:p w14:paraId="35C43EAE" w14:textId="77777777" w:rsidR="00487539" w:rsidRPr="00487539" w:rsidRDefault="00487539" w:rsidP="009D7AF2">
            <w:pPr>
              <w:pStyle w:val="TableParagraph"/>
              <w:spacing w:line="240" w:lineRule="auto"/>
              <w:ind w:left="266" w:right="266"/>
              <w:rPr>
                <w:bCs/>
                <w:color w:val="2E74B5" w:themeColor="accent5" w:themeShade="BF"/>
                <w:sz w:val="20"/>
                <w:lang w:val="hr-HR"/>
              </w:rPr>
            </w:pPr>
            <w:r w:rsidRPr="00487539">
              <w:rPr>
                <w:bCs/>
                <w:color w:val="2E74B5" w:themeColor="accent5" w:themeShade="BF"/>
                <w:sz w:val="20"/>
                <w:lang w:val="hr-HR"/>
              </w:rPr>
              <w:t>(ha)</w:t>
            </w:r>
          </w:p>
        </w:tc>
      </w:tr>
      <w:tr w:rsidR="00487539" w:rsidRPr="00487539" w14:paraId="3338493B" w14:textId="77777777" w:rsidTr="009D7AF2">
        <w:trPr>
          <w:trHeight w:hRule="exact" w:val="239"/>
          <w:jc w:val="center"/>
        </w:trPr>
        <w:tc>
          <w:tcPr>
            <w:tcW w:w="4947" w:type="dxa"/>
            <w:shd w:val="clear" w:color="auto" w:fill="D9D9D9"/>
          </w:tcPr>
          <w:p w14:paraId="17BD681C"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MJEŠOVITA NAMJENA</w:t>
            </w:r>
          </w:p>
        </w:tc>
        <w:tc>
          <w:tcPr>
            <w:tcW w:w="888" w:type="dxa"/>
            <w:shd w:val="clear" w:color="auto" w:fill="D9D9D9"/>
          </w:tcPr>
          <w:p w14:paraId="584FA75A" w14:textId="77777777" w:rsidR="00487539" w:rsidRPr="00487539" w:rsidRDefault="00487539" w:rsidP="009D7AF2">
            <w:pPr>
              <w:pStyle w:val="TableParagraph"/>
              <w:spacing w:line="240" w:lineRule="auto"/>
              <w:ind w:left="0" w:right="2"/>
              <w:rPr>
                <w:bCs/>
                <w:color w:val="2E74B5" w:themeColor="accent5" w:themeShade="BF"/>
                <w:sz w:val="20"/>
                <w:lang w:val="hr-HR"/>
              </w:rPr>
            </w:pPr>
            <w:r w:rsidRPr="00487539">
              <w:rPr>
                <w:bCs/>
                <w:color w:val="2E74B5" w:themeColor="accent5" w:themeShade="BF"/>
                <w:sz w:val="20"/>
                <w:lang w:val="hr-HR"/>
              </w:rPr>
              <w:t>M</w:t>
            </w:r>
          </w:p>
        </w:tc>
        <w:tc>
          <w:tcPr>
            <w:tcW w:w="1310" w:type="dxa"/>
            <w:shd w:val="clear" w:color="auto" w:fill="D9D9D9"/>
          </w:tcPr>
          <w:p w14:paraId="02D415D8"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 xml:space="preserve">1,30 </w:t>
            </w:r>
          </w:p>
        </w:tc>
        <w:tc>
          <w:tcPr>
            <w:tcW w:w="1324" w:type="dxa"/>
            <w:shd w:val="clear" w:color="auto" w:fill="D9D9D9"/>
          </w:tcPr>
          <w:p w14:paraId="1D56B366"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4,33</w:t>
            </w:r>
          </w:p>
        </w:tc>
        <w:tc>
          <w:tcPr>
            <w:tcW w:w="1170" w:type="dxa"/>
            <w:shd w:val="clear" w:color="auto" w:fill="D9D9D9"/>
            <w:vAlign w:val="center"/>
          </w:tcPr>
          <w:p w14:paraId="222CFED0"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5,63</w:t>
            </w:r>
          </w:p>
        </w:tc>
      </w:tr>
      <w:tr w:rsidR="00487539" w:rsidRPr="00487539" w14:paraId="38C51091" w14:textId="77777777" w:rsidTr="009D7AF2">
        <w:trPr>
          <w:trHeight w:hRule="exact" w:val="239"/>
          <w:jc w:val="center"/>
        </w:trPr>
        <w:tc>
          <w:tcPr>
            <w:tcW w:w="4947" w:type="dxa"/>
            <w:shd w:val="clear" w:color="auto" w:fill="D9D9D9"/>
          </w:tcPr>
          <w:p w14:paraId="115E23D8"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GOSPODARSKA NAMJENA - TRGOVAČKA</w:t>
            </w:r>
          </w:p>
        </w:tc>
        <w:tc>
          <w:tcPr>
            <w:tcW w:w="888" w:type="dxa"/>
            <w:shd w:val="clear" w:color="auto" w:fill="D9D9D9"/>
          </w:tcPr>
          <w:p w14:paraId="6391CCEA" w14:textId="77777777" w:rsidR="00487539" w:rsidRPr="00487539" w:rsidRDefault="00487539" w:rsidP="009D7AF2">
            <w:pPr>
              <w:pStyle w:val="TableParagraph"/>
              <w:spacing w:line="240" w:lineRule="auto"/>
              <w:ind w:left="0" w:right="1"/>
              <w:rPr>
                <w:bCs/>
                <w:color w:val="2E74B5" w:themeColor="accent5" w:themeShade="BF"/>
                <w:sz w:val="20"/>
                <w:lang w:val="hr-HR"/>
              </w:rPr>
            </w:pPr>
            <w:r w:rsidRPr="00487539">
              <w:rPr>
                <w:bCs/>
                <w:color w:val="2E74B5" w:themeColor="accent5" w:themeShade="BF"/>
                <w:sz w:val="20"/>
                <w:lang w:val="hr-HR"/>
              </w:rPr>
              <w:t>K</w:t>
            </w:r>
          </w:p>
        </w:tc>
        <w:tc>
          <w:tcPr>
            <w:tcW w:w="1310" w:type="dxa"/>
            <w:shd w:val="clear" w:color="auto" w:fill="D9D9D9"/>
          </w:tcPr>
          <w:p w14:paraId="6B6F16BB"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0,00</w:t>
            </w:r>
          </w:p>
        </w:tc>
        <w:tc>
          <w:tcPr>
            <w:tcW w:w="1324" w:type="dxa"/>
            <w:shd w:val="clear" w:color="auto" w:fill="D9D9D9"/>
          </w:tcPr>
          <w:p w14:paraId="1FC7E917"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0,06</w:t>
            </w:r>
          </w:p>
        </w:tc>
        <w:tc>
          <w:tcPr>
            <w:tcW w:w="1170" w:type="dxa"/>
            <w:shd w:val="clear" w:color="auto" w:fill="D9D9D9"/>
            <w:vAlign w:val="center"/>
          </w:tcPr>
          <w:p w14:paraId="5345D339"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0,06</w:t>
            </w:r>
          </w:p>
        </w:tc>
      </w:tr>
      <w:tr w:rsidR="00487539" w:rsidRPr="00487539" w14:paraId="169D3345" w14:textId="77777777" w:rsidTr="009D7AF2">
        <w:trPr>
          <w:trHeight w:hRule="exact" w:val="240"/>
          <w:jc w:val="center"/>
        </w:trPr>
        <w:tc>
          <w:tcPr>
            <w:tcW w:w="4947" w:type="dxa"/>
            <w:shd w:val="clear" w:color="auto" w:fill="D9D9D9"/>
          </w:tcPr>
          <w:p w14:paraId="7B1962DD"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Š</w:t>
            </w:r>
            <w:r w:rsidRPr="005149EE">
              <w:rPr>
                <w:bCs/>
                <w:color w:val="2E74B5" w:themeColor="accent5" w:themeShade="BF"/>
                <w:sz w:val="20"/>
                <w:lang w:val="hr-HR"/>
              </w:rPr>
              <w:t>PORT</w:t>
            </w:r>
            <w:r w:rsidRPr="00487539">
              <w:rPr>
                <w:bCs/>
                <w:color w:val="2E74B5" w:themeColor="accent5" w:themeShade="BF"/>
                <w:sz w:val="20"/>
                <w:lang w:val="hr-HR"/>
              </w:rPr>
              <w:t>S</w:t>
            </w:r>
            <w:r w:rsidRPr="005149EE">
              <w:rPr>
                <w:bCs/>
                <w:color w:val="2E74B5" w:themeColor="accent5" w:themeShade="BF"/>
                <w:sz w:val="20"/>
                <w:lang w:val="hr-HR"/>
              </w:rPr>
              <w:t>KO</w:t>
            </w:r>
            <w:r w:rsidRPr="00487539">
              <w:rPr>
                <w:bCs/>
                <w:color w:val="2E74B5" w:themeColor="accent5" w:themeShade="BF"/>
                <w:sz w:val="20"/>
                <w:lang w:val="hr-HR"/>
              </w:rPr>
              <w:t xml:space="preserve"> </w:t>
            </w:r>
            <w:r w:rsidRPr="005149EE">
              <w:rPr>
                <w:bCs/>
                <w:color w:val="2E74B5" w:themeColor="accent5" w:themeShade="BF"/>
                <w:sz w:val="20"/>
                <w:lang w:val="hr-HR"/>
              </w:rPr>
              <w:t>REKREA</w:t>
            </w:r>
            <w:r w:rsidRPr="00487539">
              <w:rPr>
                <w:bCs/>
                <w:color w:val="2E74B5" w:themeColor="accent5" w:themeShade="BF"/>
                <w:sz w:val="20"/>
                <w:lang w:val="hr-HR"/>
              </w:rPr>
              <w:t>C</w:t>
            </w:r>
            <w:r w:rsidRPr="005149EE">
              <w:rPr>
                <w:bCs/>
                <w:color w:val="2E74B5" w:themeColor="accent5" w:themeShade="BF"/>
                <w:sz w:val="20"/>
                <w:lang w:val="hr-HR"/>
              </w:rPr>
              <w:t>IJSKA</w:t>
            </w:r>
            <w:r w:rsidRPr="00487539">
              <w:rPr>
                <w:bCs/>
                <w:color w:val="2E74B5" w:themeColor="accent5" w:themeShade="BF"/>
                <w:sz w:val="20"/>
                <w:lang w:val="hr-HR"/>
              </w:rPr>
              <w:t xml:space="preserve"> </w:t>
            </w:r>
            <w:r w:rsidRPr="005149EE">
              <w:rPr>
                <w:bCs/>
                <w:color w:val="2E74B5" w:themeColor="accent5" w:themeShade="BF"/>
                <w:sz w:val="20"/>
                <w:lang w:val="hr-HR"/>
              </w:rPr>
              <w:t>NAMJENA</w:t>
            </w:r>
            <w:r w:rsidRPr="00487539">
              <w:rPr>
                <w:bCs/>
                <w:color w:val="2E74B5" w:themeColor="accent5" w:themeShade="BF"/>
                <w:sz w:val="20"/>
                <w:lang w:val="hr-HR"/>
              </w:rPr>
              <w:t xml:space="preserve"> - </w:t>
            </w:r>
            <w:r w:rsidRPr="005149EE">
              <w:rPr>
                <w:bCs/>
                <w:color w:val="2E74B5" w:themeColor="accent5" w:themeShade="BF"/>
                <w:sz w:val="20"/>
                <w:lang w:val="hr-HR"/>
              </w:rPr>
              <w:t>URE</w:t>
            </w:r>
            <w:r w:rsidRPr="00487539">
              <w:rPr>
                <w:bCs/>
                <w:color w:val="2E74B5" w:themeColor="accent5" w:themeShade="BF"/>
                <w:sz w:val="20"/>
                <w:lang w:val="hr-HR"/>
              </w:rPr>
              <w:t>Đ</w:t>
            </w:r>
            <w:r w:rsidRPr="005149EE">
              <w:rPr>
                <w:bCs/>
                <w:color w:val="2E74B5" w:themeColor="accent5" w:themeShade="BF"/>
                <w:sz w:val="20"/>
                <w:lang w:val="hr-HR"/>
              </w:rPr>
              <w:t>ENA</w:t>
            </w:r>
            <w:r w:rsidRPr="00487539">
              <w:rPr>
                <w:bCs/>
                <w:color w:val="2E74B5" w:themeColor="accent5" w:themeShade="BF"/>
                <w:sz w:val="20"/>
                <w:lang w:val="hr-HR"/>
              </w:rPr>
              <w:t xml:space="preserve"> </w:t>
            </w:r>
            <w:r w:rsidRPr="005149EE">
              <w:rPr>
                <w:bCs/>
                <w:color w:val="2E74B5" w:themeColor="accent5" w:themeShade="BF"/>
                <w:sz w:val="20"/>
                <w:lang w:val="hr-HR"/>
              </w:rPr>
              <w:t>PLA</w:t>
            </w:r>
            <w:r w:rsidRPr="00487539">
              <w:rPr>
                <w:bCs/>
                <w:color w:val="2E74B5" w:themeColor="accent5" w:themeShade="BF"/>
                <w:sz w:val="20"/>
                <w:lang w:val="hr-HR"/>
              </w:rPr>
              <w:t>Ž</w:t>
            </w:r>
            <w:r w:rsidRPr="005149EE">
              <w:rPr>
                <w:bCs/>
                <w:color w:val="2E74B5" w:themeColor="accent5" w:themeShade="BF"/>
                <w:sz w:val="20"/>
                <w:lang w:val="hr-HR"/>
              </w:rPr>
              <w:t>A</w:t>
            </w:r>
          </w:p>
        </w:tc>
        <w:tc>
          <w:tcPr>
            <w:tcW w:w="888" w:type="dxa"/>
            <w:shd w:val="clear" w:color="auto" w:fill="D9D9D9"/>
          </w:tcPr>
          <w:p w14:paraId="17F2B079"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R3</w:t>
            </w:r>
          </w:p>
        </w:tc>
        <w:tc>
          <w:tcPr>
            <w:tcW w:w="1310" w:type="dxa"/>
            <w:shd w:val="clear" w:color="auto" w:fill="D9D9D9"/>
          </w:tcPr>
          <w:p w14:paraId="5468D2EB"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1,49</w:t>
            </w:r>
          </w:p>
        </w:tc>
        <w:tc>
          <w:tcPr>
            <w:tcW w:w="1324" w:type="dxa"/>
            <w:shd w:val="clear" w:color="auto" w:fill="D9D9D9"/>
          </w:tcPr>
          <w:p w14:paraId="54706DB7"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3,46</w:t>
            </w:r>
          </w:p>
        </w:tc>
        <w:tc>
          <w:tcPr>
            <w:tcW w:w="1170" w:type="dxa"/>
            <w:shd w:val="clear" w:color="auto" w:fill="D9D9D9"/>
            <w:vAlign w:val="center"/>
          </w:tcPr>
          <w:p w14:paraId="782DF858"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4,95</w:t>
            </w:r>
          </w:p>
        </w:tc>
      </w:tr>
      <w:tr w:rsidR="00487539" w:rsidRPr="00487539" w14:paraId="17116974" w14:textId="77777777" w:rsidTr="009D7AF2">
        <w:trPr>
          <w:trHeight w:hRule="exact" w:val="239"/>
          <w:jc w:val="center"/>
        </w:trPr>
        <w:tc>
          <w:tcPr>
            <w:tcW w:w="4947" w:type="dxa"/>
          </w:tcPr>
          <w:p w14:paraId="27C495BD"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kopneni dio uređene plaže</w:t>
            </w:r>
          </w:p>
        </w:tc>
        <w:tc>
          <w:tcPr>
            <w:tcW w:w="888" w:type="dxa"/>
          </w:tcPr>
          <w:p w14:paraId="3BB14BED"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R3a</w:t>
            </w:r>
          </w:p>
        </w:tc>
        <w:tc>
          <w:tcPr>
            <w:tcW w:w="1310" w:type="dxa"/>
          </w:tcPr>
          <w:p w14:paraId="1BBA9BE4"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1,49</w:t>
            </w:r>
          </w:p>
        </w:tc>
        <w:tc>
          <w:tcPr>
            <w:tcW w:w="1324" w:type="dxa"/>
          </w:tcPr>
          <w:p w14:paraId="60FB36AB"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0,00</w:t>
            </w:r>
          </w:p>
        </w:tc>
        <w:tc>
          <w:tcPr>
            <w:tcW w:w="1170" w:type="dxa"/>
            <w:vAlign w:val="center"/>
          </w:tcPr>
          <w:p w14:paraId="206D2AD8"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1,49</w:t>
            </w:r>
          </w:p>
        </w:tc>
      </w:tr>
      <w:tr w:rsidR="00487539" w:rsidRPr="00487539" w14:paraId="71B64734" w14:textId="77777777" w:rsidTr="009D7AF2">
        <w:trPr>
          <w:trHeight w:hRule="exact" w:val="240"/>
          <w:jc w:val="center"/>
        </w:trPr>
        <w:tc>
          <w:tcPr>
            <w:tcW w:w="4947" w:type="dxa"/>
          </w:tcPr>
          <w:p w14:paraId="12073779" w14:textId="77777777" w:rsidR="00487539" w:rsidRPr="00487539" w:rsidRDefault="00487539" w:rsidP="009D7AF2">
            <w:pPr>
              <w:pStyle w:val="TableParagraph"/>
              <w:spacing w:before="1" w:line="240" w:lineRule="auto"/>
              <w:ind w:left="813"/>
              <w:jc w:val="left"/>
              <w:rPr>
                <w:bCs/>
                <w:color w:val="2E74B5" w:themeColor="accent5" w:themeShade="BF"/>
                <w:sz w:val="20"/>
                <w:lang w:val="hr-HR"/>
              </w:rPr>
            </w:pPr>
            <w:r w:rsidRPr="005149EE">
              <w:rPr>
                <w:bCs/>
                <w:color w:val="2E74B5" w:themeColor="accent5" w:themeShade="BF"/>
                <w:sz w:val="20"/>
                <w:lang w:val="hr-HR"/>
              </w:rPr>
              <w:t>dio</w:t>
            </w:r>
            <w:r w:rsidRPr="00487539">
              <w:rPr>
                <w:bCs/>
                <w:color w:val="2E74B5" w:themeColor="accent5" w:themeShade="BF"/>
                <w:sz w:val="20"/>
                <w:lang w:val="hr-HR"/>
              </w:rPr>
              <w:t xml:space="preserve"> </w:t>
            </w:r>
            <w:r w:rsidRPr="005149EE">
              <w:rPr>
                <w:bCs/>
                <w:color w:val="2E74B5" w:themeColor="accent5" w:themeShade="BF"/>
                <w:sz w:val="20"/>
                <w:lang w:val="hr-HR"/>
              </w:rPr>
              <w:t>akvatorija</w:t>
            </w:r>
            <w:r w:rsidRPr="00487539">
              <w:rPr>
                <w:bCs/>
                <w:color w:val="2E74B5" w:themeColor="accent5" w:themeShade="BF"/>
                <w:sz w:val="20"/>
                <w:lang w:val="hr-HR"/>
              </w:rPr>
              <w:t xml:space="preserve"> </w:t>
            </w:r>
            <w:r w:rsidRPr="005149EE">
              <w:rPr>
                <w:bCs/>
                <w:color w:val="2E74B5" w:themeColor="accent5" w:themeShade="BF"/>
                <w:sz w:val="20"/>
                <w:lang w:val="hr-HR"/>
              </w:rPr>
              <w:t>uz</w:t>
            </w:r>
            <w:r w:rsidRPr="00487539">
              <w:rPr>
                <w:bCs/>
                <w:color w:val="2E74B5" w:themeColor="accent5" w:themeShade="BF"/>
                <w:sz w:val="20"/>
                <w:lang w:val="hr-HR"/>
              </w:rPr>
              <w:t xml:space="preserve"> </w:t>
            </w:r>
            <w:r w:rsidRPr="005149EE">
              <w:rPr>
                <w:bCs/>
                <w:color w:val="2E74B5" w:themeColor="accent5" w:themeShade="BF"/>
                <w:sz w:val="20"/>
                <w:lang w:val="hr-HR"/>
              </w:rPr>
              <w:t>obalu</w:t>
            </w:r>
            <w:r w:rsidRPr="00487539">
              <w:rPr>
                <w:bCs/>
                <w:color w:val="2E74B5" w:themeColor="accent5" w:themeShade="BF"/>
                <w:sz w:val="20"/>
                <w:lang w:val="hr-HR"/>
              </w:rPr>
              <w:t xml:space="preserve"> </w:t>
            </w:r>
            <w:r w:rsidRPr="005149EE">
              <w:rPr>
                <w:bCs/>
                <w:color w:val="2E74B5" w:themeColor="accent5" w:themeShade="BF"/>
                <w:sz w:val="20"/>
                <w:lang w:val="hr-HR"/>
              </w:rPr>
              <w:t>namijenjen</w:t>
            </w:r>
            <w:r w:rsidRPr="00487539">
              <w:rPr>
                <w:bCs/>
                <w:color w:val="2E74B5" w:themeColor="accent5" w:themeShade="BF"/>
                <w:sz w:val="20"/>
                <w:lang w:val="hr-HR"/>
              </w:rPr>
              <w:t xml:space="preserve"> </w:t>
            </w:r>
            <w:r w:rsidRPr="005149EE">
              <w:rPr>
                <w:bCs/>
                <w:color w:val="2E74B5" w:themeColor="accent5" w:themeShade="BF"/>
                <w:sz w:val="20"/>
                <w:lang w:val="hr-HR"/>
              </w:rPr>
              <w:t>ure</w:t>
            </w:r>
            <w:r w:rsidRPr="00487539">
              <w:rPr>
                <w:bCs/>
                <w:color w:val="2E74B5" w:themeColor="accent5" w:themeShade="BF"/>
                <w:sz w:val="20"/>
                <w:lang w:val="hr-HR"/>
              </w:rPr>
              <w:t>đ</w:t>
            </w:r>
            <w:r w:rsidRPr="005149EE">
              <w:rPr>
                <w:bCs/>
                <w:color w:val="2E74B5" w:themeColor="accent5" w:themeShade="BF"/>
                <w:sz w:val="20"/>
                <w:lang w:val="hr-HR"/>
              </w:rPr>
              <w:t>enoj</w:t>
            </w:r>
            <w:r w:rsidRPr="00487539">
              <w:rPr>
                <w:bCs/>
                <w:color w:val="2E74B5" w:themeColor="accent5" w:themeShade="BF"/>
                <w:sz w:val="20"/>
                <w:lang w:val="hr-HR"/>
              </w:rPr>
              <w:t xml:space="preserve"> </w:t>
            </w:r>
            <w:r w:rsidRPr="005149EE">
              <w:rPr>
                <w:bCs/>
                <w:color w:val="2E74B5" w:themeColor="accent5" w:themeShade="BF"/>
                <w:sz w:val="20"/>
                <w:lang w:val="hr-HR"/>
              </w:rPr>
              <w:t>pla</w:t>
            </w:r>
            <w:r w:rsidRPr="00487539">
              <w:rPr>
                <w:bCs/>
                <w:color w:val="2E74B5" w:themeColor="accent5" w:themeShade="BF"/>
                <w:sz w:val="20"/>
                <w:lang w:val="hr-HR"/>
              </w:rPr>
              <w:t>ž</w:t>
            </w:r>
            <w:r w:rsidRPr="005149EE">
              <w:rPr>
                <w:bCs/>
                <w:color w:val="2E74B5" w:themeColor="accent5" w:themeShade="BF"/>
                <w:sz w:val="20"/>
                <w:lang w:val="hr-HR"/>
              </w:rPr>
              <w:t>i</w:t>
            </w:r>
          </w:p>
        </w:tc>
        <w:tc>
          <w:tcPr>
            <w:tcW w:w="888" w:type="dxa"/>
          </w:tcPr>
          <w:p w14:paraId="39E7D681" w14:textId="77777777" w:rsidR="00487539" w:rsidRPr="00487539" w:rsidRDefault="00487539" w:rsidP="009D7AF2">
            <w:pPr>
              <w:pStyle w:val="TableParagraph"/>
              <w:spacing w:before="1" w:line="240" w:lineRule="auto"/>
              <w:ind w:left="268" w:right="269"/>
              <w:rPr>
                <w:bCs/>
                <w:color w:val="2E74B5" w:themeColor="accent5" w:themeShade="BF"/>
                <w:sz w:val="20"/>
                <w:lang w:val="hr-HR"/>
              </w:rPr>
            </w:pPr>
            <w:r w:rsidRPr="00487539">
              <w:rPr>
                <w:bCs/>
                <w:color w:val="2E74B5" w:themeColor="accent5" w:themeShade="BF"/>
                <w:sz w:val="20"/>
                <w:lang w:val="hr-HR"/>
              </w:rPr>
              <w:t>R3b</w:t>
            </w:r>
          </w:p>
        </w:tc>
        <w:tc>
          <w:tcPr>
            <w:tcW w:w="1310" w:type="dxa"/>
          </w:tcPr>
          <w:p w14:paraId="0E1CD986" w14:textId="77777777" w:rsidR="00487539" w:rsidRPr="00487539" w:rsidRDefault="00487539" w:rsidP="009D7AF2">
            <w:pPr>
              <w:pStyle w:val="TableParagraph"/>
              <w:spacing w:before="1" w:line="240" w:lineRule="auto"/>
              <w:ind w:left="126" w:right="133"/>
              <w:rPr>
                <w:bCs/>
                <w:color w:val="2E74B5" w:themeColor="accent5" w:themeShade="BF"/>
                <w:sz w:val="20"/>
                <w:lang w:val="hr-HR"/>
              </w:rPr>
            </w:pPr>
            <w:r w:rsidRPr="00487539">
              <w:rPr>
                <w:bCs/>
                <w:color w:val="2E74B5" w:themeColor="accent5" w:themeShade="BF"/>
                <w:sz w:val="20"/>
                <w:lang w:val="hr-HR"/>
              </w:rPr>
              <w:t>0,00</w:t>
            </w:r>
          </w:p>
        </w:tc>
        <w:tc>
          <w:tcPr>
            <w:tcW w:w="1324" w:type="dxa"/>
          </w:tcPr>
          <w:p w14:paraId="03D1A82D" w14:textId="77777777" w:rsidR="00487539" w:rsidRPr="00487539" w:rsidRDefault="00487539" w:rsidP="009D7AF2">
            <w:pPr>
              <w:pStyle w:val="TableParagraph"/>
              <w:spacing w:before="1" w:line="240" w:lineRule="auto"/>
              <w:ind w:right="154"/>
              <w:rPr>
                <w:bCs/>
                <w:color w:val="2E74B5" w:themeColor="accent5" w:themeShade="BF"/>
                <w:sz w:val="20"/>
                <w:lang w:val="hr-HR"/>
              </w:rPr>
            </w:pPr>
            <w:r w:rsidRPr="00487539">
              <w:rPr>
                <w:bCs/>
                <w:color w:val="2E74B5" w:themeColor="accent5" w:themeShade="BF"/>
                <w:sz w:val="20"/>
                <w:lang w:val="hr-HR"/>
              </w:rPr>
              <w:t>3,46</w:t>
            </w:r>
          </w:p>
        </w:tc>
        <w:tc>
          <w:tcPr>
            <w:tcW w:w="1170" w:type="dxa"/>
            <w:vAlign w:val="center"/>
          </w:tcPr>
          <w:p w14:paraId="1D2D6632" w14:textId="77777777" w:rsidR="00487539" w:rsidRPr="00487539" w:rsidRDefault="00487539" w:rsidP="009D7AF2">
            <w:pPr>
              <w:pStyle w:val="TableParagraph"/>
              <w:spacing w:before="1" w:line="240" w:lineRule="auto"/>
              <w:ind w:left="35"/>
              <w:rPr>
                <w:bCs/>
                <w:color w:val="2E74B5" w:themeColor="accent5" w:themeShade="BF"/>
                <w:sz w:val="20"/>
                <w:lang w:val="hr-HR"/>
              </w:rPr>
            </w:pPr>
            <w:r w:rsidRPr="00487539">
              <w:rPr>
                <w:bCs/>
                <w:color w:val="2E74B5" w:themeColor="accent5" w:themeShade="BF"/>
                <w:sz w:val="20"/>
                <w:lang w:val="hr-HR"/>
              </w:rPr>
              <w:t>3,46</w:t>
            </w:r>
          </w:p>
        </w:tc>
      </w:tr>
      <w:tr w:rsidR="00487539" w:rsidRPr="00487539" w14:paraId="33A57682" w14:textId="77777777" w:rsidTr="009D7AF2">
        <w:trPr>
          <w:trHeight w:hRule="exact" w:val="239"/>
          <w:jc w:val="center"/>
        </w:trPr>
        <w:tc>
          <w:tcPr>
            <w:tcW w:w="4947" w:type="dxa"/>
            <w:shd w:val="clear" w:color="auto" w:fill="D9D9D9"/>
          </w:tcPr>
          <w:p w14:paraId="78D69B2F"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Š</w:t>
            </w:r>
            <w:r w:rsidRPr="005149EE">
              <w:rPr>
                <w:bCs/>
                <w:color w:val="2E74B5" w:themeColor="accent5" w:themeShade="BF"/>
                <w:sz w:val="20"/>
                <w:lang w:val="hr-HR"/>
              </w:rPr>
              <w:t>PORT</w:t>
            </w:r>
            <w:r w:rsidRPr="00487539">
              <w:rPr>
                <w:bCs/>
                <w:color w:val="2E74B5" w:themeColor="accent5" w:themeShade="BF"/>
                <w:sz w:val="20"/>
                <w:lang w:val="hr-HR"/>
              </w:rPr>
              <w:t>S</w:t>
            </w:r>
            <w:r w:rsidRPr="005149EE">
              <w:rPr>
                <w:bCs/>
                <w:color w:val="2E74B5" w:themeColor="accent5" w:themeShade="BF"/>
                <w:sz w:val="20"/>
                <w:lang w:val="hr-HR"/>
              </w:rPr>
              <w:t>KO</w:t>
            </w:r>
            <w:r w:rsidRPr="00487539">
              <w:rPr>
                <w:bCs/>
                <w:color w:val="2E74B5" w:themeColor="accent5" w:themeShade="BF"/>
                <w:sz w:val="20"/>
                <w:lang w:val="hr-HR"/>
              </w:rPr>
              <w:t xml:space="preserve"> </w:t>
            </w:r>
            <w:r w:rsidRPr="005149EE">
              <w:rPr>
                <w:bCs/>
                <w:color w:val="2E74B5" w:themeColor="accent5" w:themeShade="BF"/>
                <w:sz w:val="20"/>
                <w:lang w:val="hr-HR"/>
              </w:rPr>
              <w:t>REKREA</w:t>
            </w:r>
            <w:r w:rsidRPr="00487539">
              <w:rPr>
                <w:bCs/>
                <w:color w:val="2E74B5" w:themeColor="accent5" w:themeShade="BF"/>
                <w:sz w:val="20"/>
                <w:lang w:val="hr-HR"/>
              </w:rPr>
              <w:t>C</w:t>
            </w:r>
            <w:r w:rsidRPr="005149EE">
              <w:rPr>
                <w:bCs/>
                <w:color w:val="2E74B5" w:themeColor="accent5" w:themeShade="BF"/>
                <w:sz w:val="20"/>
                <w:lang w:val="hr-HR"/>
              </w:rPr>
              <w:t>IJSKA</w:t>
            </w:r>
            <w:r w:rsidRPr="00487539">
              <w:rPr>
                <w:bCs/>
                <w:color w:val="2E74B5" w:themeColor="accent5" w:themeShade="BF"/>
                <w:sz w:val="20"/>
                <w:lang w:val="hr-HR"/>
              </w:rPr>
              <w:t xml:space="preserve"> </w:t>
            </w:r>
            <w:r w:rsidRPr="005149EE">
              <w:rPr>
                <w:bCs/>
                <w:color w:val="2E74B5" w:themeColor="accent5" w:themeShade="BF"/>
                <w:sz w:val="20"/>
                <w:lang w:val="hr-HR"/>
              </w:rPr>
              <w:t>NAMJENA</w:t>
            </w:r>
            <w:r w:rsidRPr="00487539">
              <w:rPr>
                <w:bCs/>
                <w:color w:val="2E74B5" w:themeColor="accent5" w:themeShade="BF"/>
                <w:sz w:val="20"/>
                <w:lang w:val="hr-HR"/>
              </w:rPr>
              <w:t xml:space="preserve"> - </w:t>
            </w:r>
            <w:r w:rsidRPr="005149EE">
              <w:rPr>
                <w:bCs/>
                <w:color w:val="2E74B5" w:themeColor="accent5" w:themeShade="BF"/>
                <w:sz w:val="20"/>
                <w:lang w:val="hr-HR"/>
              </w:rPr>
              <w:t>PRIRODNA</w:t>
            </w:r>
            <w:r w:rsidRPr="00487539">
              <w:rPr>
                <w:bCs/>
                <w:color w:val="2E74B5" w:themeColor="accent5" w:themeShade="BF"/>
                <w:sz w:val="20"/>
                <w:lang w:val="hr-HR"/>
              </w:rPr>
              <w:t xml:space="preserve"> </w:t>
            </w:r>
            <w:r w:rsidRPr="005149EE">
              <w:rPr>
                <w:bCs/>
                <w:color w:val="2E74B5" w:themeColor="accent5" w:themeShade="BF"/>
                <w:sz w:val="20"/>
                <w:lang w:val="hr-HR"/>
              </w:rPr>
              <w:t>PLA</w:t>
            </w:r>
            <w:r w:rsidRPr="00487539">
              <w:rPr>
                <w:bCs/>
                <w:color w:val="2E74B5" w:themeColor="accent5" w:themeShade="BF"/>
                <w:sz w:val="20"/>
                <w:lang w:val="hr-HR"/>
              </w:rPr>
              <w:t>Ž</w:t>
            </w:r>
            <w:r w:rsidRPr="005149EE">
              <w:rPr>
                <w:bCs/>
                <w:color w:val="2E74B5" w:themeColor="accent5" w:themeShade="BF"/>
                <w:sz w:val="20"/>
                <w:lang w:val="hr-HR"/>
              </w:rPr>
              <w:t>A</w:t>
            </w:r>
          </w:p>
        </w:tc>
        <w:tc>
          <w:tcPr>
            <w:tcW w:w="888" w:type="dxa"/>
            <w:shd w:val="clear" w:color="auto" w:fill="D9D9D9"/>
          </w:tcPr>
          <w:p w14:paraId="5C0C5FAC"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R4</w:t>
            </w:r>
          </w:p>
        </w:tc>
        <w:tc>
          <w:tcPr>
            <w:tcW w:w="1310" w:type="dxa"/>
            <w:shd w:val="clear" w:color="auto" w:fill="D9D9D9"/>
          </w:tcPr>
          <w:p w14:paraId="61BF1E3A"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0,22</w:t>
            </w:r>
          </w:p>
        </w:tc>
        <w:tc>
          <w:tcPr>
            <w:tcW w:w="1324" w:type="dxa"/>
            <w:shd w:val="clear" w:color="auto" w:fill="D9D9D9"/>
          </w:tcPr>
          <w:p w14:paraId="7BF7819D"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0,00</w:t>
            </w:r>
          </w:p>
        </w:tc>
        <w:tc>
          <w:tcPr>
            <w:tcW w:w="1170" w:type="dxa"/>
            <w:shd w:val="clear" w:color="auto" w:fill="D9D9D9"/>
            <w:vAlign w:val="center"/>
          </w:tcPr>
          <w:p w14:paraId="61346F7A"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0,22</w:t>
            </w:r>
          </w:p>
        </w:tc>
      </w:tr>
      <w:tr w:rsidR="00487539" w:rsidRPr="00487539" w14:paraId="5EAE1487" w14:textId="77777777" w:rsidTr="009D7AF2">
        <w:trPr>
          <w:trHeight w:hRule="exact" w:val="239"/>
          <w:jc w:val="center"/>
        </w:trPr>
        <w:tc>
          <w:tcPr>
            <w:tcW w:w="4947" w:type="dxa"/>
            <w:shd w:val="clear" w:color="auto" w:fill="D9D9D9"/>
          </w:tcPr>
          <w:p w14:paraId="6DC0353C"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JAVNE ZELENE POVRŠINE</w:t>
            </w:r>
          </w:p>
        </w:tc>
        <w:tc>
          <w:tcPr>
            <w:tcW w:w="888" w:type="dxa"/>
            <w:shd w:val="clear" w:color="auto" w:fill="D9D9D9"/>
          </w:tcPr>
          <w:p w14:paraId="01C7411A"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Z1</w:t>
            </w:r>
          </w:p>
        </w:tc>
        <w:tc>
          <w:tcPr>
            <w:tcW w:w="1310" w:type="dxa"/>
            <w:shd w:val="clear" w:color="auto" w:fill="D9D9D9"/>
          </w:tcPr>
          <w:p w14:paraId="54193120"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0,41</w:t>
            </w:r>
          </w:p>
        </w:tc>
        <w:tc>
          <w:tcPr>
            <w:tcW w:w="1324" w:type="dxa"/>
            <w:shd w:val="clear" w:color="auto" w:fill="D9D9D9"/>
          </w:tcPr>
          <w:p w14:paraId="657E78AF"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 xml:space="preserve">0,22 </w:t>
            </w:r>
          </w:p>
        </w:tc>
        <w:tc>
          <w:tcPr>
            <w:tcW w:w="1170" w:type="dxa"/>
            <w:shd w:val="clear" w:color="auto" w:fill="D9D9D9"/>
            <w:vAlign w:val="center"/>
          </w:tcPr>
          <w:p w14:paraId="3FE8BD2C"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0,63</w:t>
            </w:r>
          </w:p>
        </w:tc>
      </w:tr>
      <w:tr w:rsidR="00487539" w:rsidRPr="00487539" w14:paraId="116F09E1" w14:textId="77777777" w:rsidTr="009D7AF2">
        <w:trPr>
          <w:trHeight w:hRule="exact" w:val="240"/>
          <w:jc w:val="center"/>
        </w:trPr>
        <w:tc>
          <w:tcPr>
            <w:tcW w:w="4947" w:type="dxa"/>
            <w:shd w:val="clear" w:color="auto" w:fill="D9D9D9"/>
          </w:tcPr>
          <w:p w14:paraId="57566D30"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POVRŠINE INFRASTRUKTURNIH SUSTAVA</w:t>
            </w:r>
          </w:p>
        </w:tc>
        <w:tc>
          <w:tcPr>
            <w:tcW w:w="888" w:type="dxa"/>
            <w:shd w:val="clear" w:color="auto" w:fill="D9D9D9"/>
          </w:tcPr>
          <w:p w14:paraId="29A7A4BA"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IS</w:t>
            </w:r>
          </w:p>
        </w:tc>
        <w:tc>
          <w:tcPr>
            <w:tcW w:w="1310" w:type="dxa"/>
            <w:shd w:val="clear" w:color="auto" w:fill="D9D9D9"/>
          </w:tcPr>
          <w:p w14:paraId="1F6748B1"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0,94</w:t>
            </w:r>
          </w:p>
        </w:tc>
        <w:tc>
          <w:tcPr>
            <w:tcW w:w="1324" w:type="dxa"/>
            <w:shd w:val="clear" w:color="auto" w:fill="D9D9D9"/>
          </w:tcPr>
          <w:p w14:paraId="585C6EF6"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0,71</w:t>
            </w:r>
          </w:p>
        </w:tc>
        <w:tc>
          <w:tcPr>
            <w:tcW w:w="1170" w:type="dxa"/>
            <w:shd w:val="clear" w:color="auto" w:fill="D9D9D9"/>
            <w:vAlign w:val="center"/>
          </w:tcPr>
          <w:p w14:paraId="6D19CA33"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 xml:space="preserve">1,65 </w:t>
            </w:r>
          </w:p>
        </w:tc>
      </w:tr>
      <w:tr w:rsidR="00487539" w:rsidRPr="00487539" w14:paraId="121769E7" w14:textId="77777777" w:rsidTr="009D7AF2">
        <w:trPr>
          <w:trHeight w:hRule="exact" w:val="239"/>
          <w:jc w:val="center"/>
        </w:trPr>
        <w:tc>
          <w:tcPr>
            <w:tcW w:w="4947" w:type="dxa"/>
          </w:tcPr>
          <w:p w14:paraId="6BDAC03F"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kolne površine</w:t>
            </w:r>
          </w:p>
        </w:tc>
        <w:tc>
          <w:tcPr>
            <w:tcW w:w="888" w:type="dxa"/>
          </w:tcPr>
          <w:p w14:paraId="420E23FA"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IS1</w:t>
            </w:r>
          </w:p>
        </w:tc>
        <w:tc>
          <w:tcPr>
            <w:tcW w:w="1310" w:type="dxa"/>
          </w:tcPr>
          <w:p w14:paraId="338707A9"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0,79</w:t>
            </w:r>
          </w:p>
        </w:tc>
        <w:tc>
          <w:tcPr>
            <w:tcW w:w="1324" w:type="dxa"/>
          </w:tcPr>
          <w:p w14:paraId="5E3DB011"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0,54</w:t>
            </w:r>
          </w:p>
        </w:tc>
        <w:tc>
          <w:tcPr>
            <w:tcW w:w="1170" w:type="dxa"/>
            <w:vAlign w:val="center"/>
          </w:tcPr>
          <w:p w14:paraId="7F985590"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1,33</w:t>
            </w:r>
          </w:p>
        </w:tc>
      </w:tr>
      <w:tr w:rsidR="00487539" w:rsidRPr="00487539" w14:paraId="379C6A32" w14:textId="77777777" w:rsidTr="009D7AF2">
        <w:trPr>
          <w:trHeight w:hRule="exact" w:val="240"/>
          <w:jc w:val="center"/>
        </w:trPr>
        <w:tc>
          <w:tcPr>
            <w:tcW w:w="4947" w:type="dxa"/>
          </w:tcPr>
          <w:p w14:paraId="27468EAC"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kolno-pješačke površine</w:t>
            </w:r>
          </w:p>
        </w:tc>
        <w:tc>
          <w:tcPr>
            <w:tcW w:w="888" w:type="dxa"/>
          </w:tcPr>
          <w:p w14:paraId="58DC2876"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IS2</w:t>
            </w:r>
          </w:p>
        </w:tc>
        <w:tc>
          <w:tcPr>
            <w:tcW w:w="1310" w:type="dxa"/>
          </w:tcPr>
          <w:p w14:paraId="110917C1"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0,11</w:t>
            </w:r>
          </w:p>
        </w:tc>
        <w:tc>
          <w:tcPr>
            <w:tcW w:w="1324" w:type="dxa"/>
          </w:tcPr>
          <w:p w14:paraId="24E0F545"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0,04</w:t>
            </w:r>
          </w:p>
        </w:tc>
        <w:tc>
          <w:tcPr>
            <w:tcW w:w="1170" w:type="dxa"/>
            <w:vAlign w:val="center"/>
          </w:tcPr>
          <w:p w14:paraId="652E2DB5"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0,15</w:t>
            </w:r>
          </w:p>
        </w:tc>
      </w:tr>
      <w:tr w:rsidR="00487539" w:rsidRPr="00487539" w14:paraId="18B309D2" w14:textId="77777777" w:rsidTr="009D7AF2">
        <w:trPr>
          <w:trHeight w:hRule="exact" w:val="239"/>
          <w:jc w:val="center"/>
        </w:trPr>
        <w:tc>
          <w:tcPr>
            <w:tcW w:w="4947" w:type="dxa"/>
          </w:tcPr>
          <w:p w14:paraId="06A2DA28"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pješačke površine</w:t>
            </w:r>
          </w:p>
        </w:tc>
        <w:tc>
          <w:tcPr>
            <w:tcW w:w="888" w:type="dxa"/>
          </w:tcPr>
          <w:p w14:paraId="3097E9C7"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IS3</w:t>
            </w:r>
          </w:p>
        </w:tc>
        <w:tc>
          <w:tcPr>
            <w:tcW w:w="1310" w:type="dxa"/>
          </w:tcPr>
          <w:p w14:paraId="4EF04871"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0,02</w:t>
            </w:r>
          </w:p>
        </w:tc>
        <w:tc>
          <w:tcPr>
            <w:tcW w:w="1324" w:type="dxa"/>
          </w:tcPr>
          <w:p w14:paraId="7317E606"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0,13</w:t>
            </w:r>
          </w:p>
        </w:tc>
        <w:tc>
          <w:tcPr>
            <w:tcW w:w="1170" w:type="dxa"/>
            <w:vAlign w:val="center"/>
          </w:tcPr>
          <w:p w14:paraId="76E05F40"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0,15</w:t>
            </w:r>
          </w:p>
        </w:tc>
      </w:tr>
      <w:tr w:rsidR="00487539" w:rsidRPr="00487539" w14:paraId="557A7E31" w14:textId="77777777" w:rsidTr="009D7AF2">
        <w:trPr>
          <w:trHeight w:hRule="exact" w:val="240"/>
          <w:jc w:val="center"/>
        </w:trPr>
        <w:tc>
          <w:tcPr>
            <w:tcW w:w="4947" w:type="dxa"/>
          </w:tcPr>
          <w:p w14:paraId="278C8299" w14:textId="77777777" w:rsidR="00487539" w:rsidRPr="00487539" w:rsidRDefault="00487539" w:rsidP="009D7AF2">
            <w:pPr>
              <w:pStyle w:val="TableParagraph"/>
              <w:spacing w:before="1" w:line="240" w:lineRule="auto"/>
              <w:ind w:left="813"/>
              <w:jc w:val="left"/>
              <w:rPr>
                <w:bCs/>
                <w:color w:val="2E74B5" w:themeColor="accent5" w:themeShade="BF"/>
                <w:sz w:val="20"/>
                <w:lang w:val="hr-HR"/>
              </w:rPr>
            </w:pPr>
            <w:r w:rsidRPr="00487539">
              <w:rPr>
                <w:bCs/>
                <w:color w:val="2E74B5" w:themeColor="accent5" w:themeShade="BF"/>
                <w:sz w:val="20"/>
                <w:lang w:val="hr-HR"/>
              </w:rPr>
              <w:t>površina za trafostanicu</w:t>
            </w:r>
          </w:p>
        </w:tc>
        <w:tc>
          <w:tcPr>
            <w:tcW w:w="888" w:type="dxa"/>
          </w:tcPr>
          <w:p w14:paraId="547B0218" w14:textId="77777777" w:rsidR="00487539" w:rsidRPr="00487539" w:rsidRDefault="00487539" w:rsidP="009D7AF2">
            <w:pPr>
              <w:pStyle w:val="TableParagraph"/>
              <w:spacing w:before="1" w:line="240" w:lineRule="auto"/>
              <w:ind w:left="268" w:right="269"/>
              <w:rPr>
                <w:bCs/>
                <w:color w:val="2E74B5" w:themeColor="accent5" w:themeShade="BF"/>
                <w:sz w:val="20"/>
                <w:lang w:val="hr-HR"/>
              </w:rPr>
            </w:pPr>
            <w:r w:rsidRPr="00487539">
              <w:rPr>
                <w:bCs/>
                <w:color w:val="2E74B5" w:themeColor="accent5" w:themeShade="BF"/>
                <w:sz w:val="20"/>
                <w:lang w:val="hr-HR"/>
              </w:rPr>
              <w:t>IS4</w:t>
            </w:r>
          </w:p>
        </w:tc>
        <w:tc>
          <w:tcPr>
            <w:tcW w:w="1310" w:type="dxa"/>
          </w:tcPr>
          <w:p w14:paraId="0E0C3CBF" w14:textId="77777777" w:rsidR="00487539" w:rsidRPr="00487539" w:rsidRDefault="00487539" w:rsidP="009D7AF2">
            <w:pPr>
              <w:pStyle w:val="TableParagraph"/>
              <w:spacing w:before="1" w:line="240" w:lineRule="auto"/>
              <w:ind w:left="126" w:right="133"/>
              <w:rPr>
                <w:bCs/>
                <w:color w:val="2E74B5" w:themeColor="accent5" w:themeShade="BF"/>
                <w:sz w:val="20"/>
                <w:lang w:val="hr-HR"/>
              </w:rPr>
            </w:pPr>
            <w:r w:rsidRPr="00487539">
              <w:rPr>
                <w:bCs/>
                <w:color w:val="2E74B5" w:themeColor="accent5" w:themeShade="BF"/>
                <w:sz w:val="20"/>
                <w:lang w:val="hr-HR"/>
              </w:rPr>
              <w:t>0,00</w:t>
            </w:r>
          </w:p>
        </w:tc>
        <w:tc>
          <w:tcPr>
            <w:tcW w:w="1324" w:type="dxa"/>
          </w:tcPr>
          <w:p w14:paraId="06831FB1" w14:textId="77777777" w:rsidR="00487539" w:rsidRPr="00487539" w:rsidRDefault="00487539" w:rsidP="009D7AF2">
            <w:pPr>
              <w:pStyle w:val="TableParagraph"/>
              <w:spacing w:before="1" w:line="240" w:lineRule="auto"/>
              <w:ind w:right="154"/>
              <w:rPr>
                <w:bCs/>
                <w:color w:val="2E74B5" w:themeColor="accent5" w:themeShade="BF"/>
                <w:sz w:val="20"/>
                <w:lang w:val="hr-HR"/>
              </w:rPr>
            </w:pPr>
            <w:r w:rsidRPr="00487539">
              <w:rPr>
                <w:bCs/>
                <w:color w:val="2E74B5" w:themeColor="accent5" w:themeShade="BF"/>
                <w:sz w:val="20"/>
                <w:lang w:val="hr-HR"/>
              </w:rPr>
              <w:t>0,01</w:t>
            </w:r>
          </w:p>
        </w:tc>
        <w:tc>
          <w:tcPr>
            <w:tcW w:w="1170" w:type="dxa"/>
            <w:vAlign w:val="center"/>
          </w:tcPr>
          <w:p w14:paraId="6F637488" w14:textId="77777777" w:rsidR="00487539" w:rsidRPr="00487539" w:rsidRDefault="00487539" w:rsidP="009D7AF2">
            <w:pPr>
              <w:pStyle w:val="TableParagraph"/>
              <w:spacing w:before="1" w:line="240" w:lineRule="auto"/>
              <w:ind w:left="35"/>
              <w:rPr>
                <w:bCs/>
                <w:color w:val="2E74B5" w:themeColor="accent5" w:themeShade="BF"/>
                <w:sz w:val="20"/>
                <w:lang w:val="hr-HR"/>
              </w:rPr>
            </w:pPr>
            <w:r w:rsidRPr="00487539">
              <w:rPr>
                <w:bCs/>
                <w:color w:val="2E74B5" w:themeColor="accent5" w:themeShade="BF"/>
                <w:sz w:val="20"/>
                <w:lang w:val="hr-HR"/>
              </w:rPr>
              <w:t>0,01</w:t>
            </w:r>
          </w:p>
        </w:tc>
      </w:tr>
      <w:tr w:rsidR="00487539" w:rsidRPr="00487539" w14:paraId="20A4EF15" w14:textId="77777777" w:rsidTr="009D7AF2">
        <w:trPr>
          <w:trHeight w:hRule="exact" w:val="239"/>
          <w:jc w:val="center"/>
        </w:trPr>
        <w:tc>
          <w:tcPr>
            <w:tcW w:w="4947" w:type="dxa"/>
          </w:tcPr>
          <w:p w14:paraId="5747F025"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površina za parkiralište</w:t>
            </w:r>
          </w:p>
        </w:tc>
        <w:tc>
          <w:tcPr>
            <w:tcW w:w="888" w:type="dxa"/>
          </w:tcPr>
          <w:p w14:paraId="7DD4AD2E" w14:textId="77777777" w:rsidR="00487539" w:rsidRPr="00487539" w:rsidRDefault="00487539" w:rsidP="009D7AF2">
            <w:pPr>
              <w:pStyle w:val="TableParagraph"/>
              <w:spacing w:line="240" w:lineRule="auto"/>
              <w:ind w:left="268" w:right="269"/>
              <w:rPr>
                <w:bCs/>
                <w:color w:val="2E74B5" w:themeColor="accent5" w:themeShade="BF"/>
                <w:sz w:val="20"/>
                <w:lang w:val="hr-HR"/>
              </w:rPr>
            </w:pPr>
            <w:r w:rsidRPr="00487539">
              <w:rPr>
                <w:bCs/>
                <w:color w:val="2E74B5" w:themeColor="accent5" w:themeShade="BF"/>
                <w:sz w:val="20"/>
                <w:lang w:val="hr-HR"/>
              </w:rPr>
              <w:t>IS5</w:t>
            </w:r>
          </w:p>
        </w:tc>
        <w:tc>
          <w:tcPr>
            <w:tcW w:w="1310" w:type="dxa"/>
          </w:tcPr>
          <w:p w14:paraId="6304B392"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0,02</w:t>
            </w:r>
          </w:p>
        </w:tc>
        <w:tc>
          <w:tcPr>
            <w:tcW w:w="1324" w:type="dxa"/>
          </w:tcPr>
          <w:p w14:paraId="4669DD9A"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0,00</w:t>
            </w:r>
          </w:p>
        </w:tc>
        <w:tc>
          <w:tcPr>
            <w:tcW w:w="1170" w:type="dxa"/>
            <w:vAlign w:val="center"/>
          </w:tcPr>
          <w:p w14:paraId="6667368F"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0,02</w:t>
            </w:r>
          </w:p>
        </w:tc>
      </w:tr>
      <w:tr w:rsidR="00487539" w:rsidRPr="00487539" w14:paraId="555F74A0" w14:textId="77777777" w:rsidTr="009D7AF2">
        <w:trPr>
          <w:trHeight w:hRule="exact" w:val="239"/>
          <w:jc w:val="center"/>
        </w:trPr>
        <w:tc>
          <w:tcPr>
            <w:tcW w:w="4947" w:type="dxa"/>
            <w:shd w:val="clear" w:color="auto" w:fill="D9D9D9"/>
          </w:tcPr>
          <w:p w14:paraId="7274B804" w14:textId="77777777" w:rsidR="00487539" w:rsidRPr="00487539" w:rsidRDefault="00487539" w:rsidP="009D7AF2">
            <w:pPr>
              <w:pStyle w:val="TableParagraph"/>
              <w:spacing w:line="240" w:lineRule="auto"/>
              <w:ind w:left="813"/>
              <w:jc w:val="left"/>
              <w:rPr>
                <w:bCs/>
                <w:color w:val="2E74B5" w:themeColor="accent5" w:themeShade="BF"/>
                <w:sz w:val="20"/>
                <w:lang w:val="hr-HR"/>
              </w:rPr>
            </w:pPr>
            <w:r w:rsidRPr="00487539">
              <w:rPr>
                <w:bCs/>
                <w:color w:val="2E74B5" w:themeColor="accent5" w:themeShade="BF"/>
                <w:sz w:val="20"/>
                <w:lang w:val="hr-HR"/>
              </w:rPr>
              <w:t>POVRŠINE MORA</w:t>
            </w:r>
          </w:p>
        </w:tc>
        <w:tc>
          <w:tcPr>
            <w:tcW w:w="888" w:type="dxa"/>
            <w:shd w:val="clear" w:color="auto" w:fill="D9D9D9"/>
          </w:tcPr>
          <w:p w14:paraId="02C464EC" w14:textId="77777777" w:rsidR="00487539" w:rsidRPr="00487539" w:rsidRDefault="00487539" w:rsidP="009D7AF2">
            <w:pPr>
              <w:rPr>
                <w:rFonts w:ascii="Arial Narrow" w:hAnsi="Arial Narrow"/>
                <w:bCs/>
                <w:color w:val="2E74B5" w:themeColor="accent5" w:themeShade="BF"/>
              </w:rPr>
            </w:pPr>
          </w:p>
        </w:tc>
        <w:tc>
          <w:tcPr>
            <w:tcW w:w="1310" w:type="dxa"/>
            <w:shd w:val="clear" w:color="auto" w:fill="D9D9D9"/>
          </w:tcPr>
          <w:p w14:paraId="436061C3"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2,16</w:t>
            </w:r>
          </w:p>
        </w:tc>
        <w:tc>
          <w:tcPr>
            <w:tcW w:w="1324" w:type="dxa"/>
            <w:shd w:val="clear" w:color="auto" w:fill="D9D9D9"/>
          </w:tcPr>
          <w:p w14:paraId="6393603D"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0,00</w:t>
            </w:r>
          </w:p>
        </w:tc>
        <w:tc>
          <w:tcPr>
            <w:tcW w:w="1170" w:type="dxa"/>
            <w:shd w:val="clear" w:color="auto" w:fill="D9D9D9"/>
            <w:vAlign w:val="center"/>
          </w:tcPr>
          <w:p w14:paraId="27DFF24E"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 xml:space="preserve">2,16 </w:t>
            </w:r>
          </w:p>
        </w:tc>
      </w:tr>
      <w:tr w:rsidR="00487539" w:rsidRPr="00487539" w14:paraId="06F4455A" w14:textId="77777777" w:rsidTr="009D7AF2">
        <w:trPr>
          <w:trHeight w:hRule="exact" w:val="240"/>
          <w:jc w:val="center"/>
        </w:trPr>
        <w:tc>
          <w:tcPr>
            <w:tcW w:w="4947" w:type="dxa"/>
            <w:shd w:val="clear" w:color="auto" w:fill="A6A6A6"/>
            <w:vAlign w:val="center"/>
          </w:tcPr>
          <w:p w14:paraId="4A09F33E" w14:textId="77777777" w:rsidR="00487539" w:rsidRPr="00487539" w:rsidRDefault="00487539" w:rsidP="009D7AF2">
            <w:pPr>
              <w:pStyle w:val="TableParagraph"/>
              <w:spacing w:line="240" w:lineRule="auto"/>
              <w:ind w:left="103"/>
              <w:jc w:val="left"/>
              <w:rPr>
                <w:bCs/>
                <w:color w:val="2E74B5" w:themeColor="accent5" w:themeShade="BF"/>
                <w:sz w:val="20"/>
                <w:lang w:val="hr-HR"/>
              </w:rPr>
            </w:pPr>
            <w:r w:rsidRPr="00487539">
              <w:rPr>
                <w:bCs/>
                <w:color w:val="2E74B5" w:themeColor="accent5" w:themeShade="BF"/>
                <w:sz w:val="20"/>
                <w:lang w:val="hr-HR"/>
              </w:rPr>
              <w:t>UKUPNA  POVRŠINA OBUHVATA PLANA</w:t>
            </w:r>
          </w:p>
        </w:tc>
        <w:tc>
          <w:tcPr>
            <w:tcW w:w="888" w:type="dxa"/>
            <w:shd w:val="clear" w:color="auto" w:fill="A6A6A6"/>
          </w:tcPr>
          <w:p w14:paraId="7AC5788C" w14:textId="77777777" w:rsidR="00487539" w:rsidRPr="00487539" w:rsidRDefault="00487539" w:rsidP="009D7AF2">
            <w:pPr>
              <w:rPr>
                <w:rFonts w:ascii="Arial Narrow" w:hAnsi="Arial Narrow"/>
                <w:bCs/>
                <w:color w:val="2E74B5" w:themeColor="accent5" w:themeShade="BF"/>
              </w:rPr>
            </w:pPr>
          </w:p>
        </w:tc>
        <w:tc>
          <w:tcPr>
            <w:tcW w:w="1310" w:type="dxa"/>
            <w:shd w:val="clear" w:color="auto" w:fill="A6A6A6"/>
          </w:tcPr>
          <w:p w14:paraId="04AE89B3" w14:textId="77777777" w:rsidR="00487539" w:rsidRPr="00487539" w:rsidRDefault="00487539" w:rsidP="009D7AF2">
            <w:pPr>
              <w:pStyle w:val="TableParagraph"/>
              <w:spacing w:line="240" w:lineRule="auto"/>
              <w:ind w:left="126" w:right="133"/>
              <w:rPr>
                <w:bCs/>
                <w:color w:val="2E74B5" w:themeColor="accent5" w:themeShade="BF"/>
                <w:sz w:val="20"/>
                <w:lang w:val="hr-HR"/>
              </w:rPr>
            </w:pPr>
            <w:r w:rsidRPr="00487539">
              <w:rPr>
                <w:bCs/>
                <w:color w:val="2E74B5" w:themeColor="accent5" w:themeShade="BF"/>
                <w:sz w:val="20"/>
                <w:lang w:val="hr-HR"/>
              </w:rPr>
              <w:t>6,52</w:t>
            </w:r>
          </w:p>
        </w:tc>
        <w:tc>
          <w:tcPr>
            <w:tcW w:w="1324" w:type="dxa"/>
            <w:shd w:val="clear" w:color="auto" w:fill="A6A6A6"/>
          </w:tcPr>
          <w:p w14:paraId="36E54ECD" w14:textId="77777777" w:rsidR="00487539" w:rsidRPr="00487539" w:rsidRDefault="00487539" w:rsidP="009D7AF2">
            <w:pPr>
              <w:pStyle w:val="TableParagraph"/>
              <w:spacing w:line="240" w:lineRule="auto"/>
              <w:ind w:right="154"/>
              <w:rPr>
                <w:bCs/>
                <w:color w:val="2E74B5" w:themeColor="accent5" w:themeShade="BF"/>
                <w:sz w:val="20"/>
                <w:lang w:val="hr-HR"/>
              </w:rPr>
            </w:pPr>
            <w:r w:rsidRPr="00487539">
              <w:rPr>
                <w:bCs/>
                <w:color w:val="2E74B5" w:themeColor="accent5" w:themeShade="BF"/>
                <w:sz w:val="20"/>
                <w:lang w:val="hr-HR"/>
              </w:rPr>
              <w:t>8,78</w:t>
            </w:r>
          </w:p>
        </w:tc>
        <w:tc>
          <w:tcPr>
            <w:tcW w:w="1170" w:type="dxa"/>
            <w:shd w:val="clear" w:color="auto" w:fill="A6A6A6"/>
            <w:vAlign w:val="center"/>
          </w:tcPr>
          <w:p w14:paraId="160CDFD9" w14:textId="77777777" w:rsidR="00487539" w:rsidRPr="00487539" w:rsidRDefault="00487539" w:rsidP="009D7AF2">
            <w:pPr>
              <w:pStyle w:val="TableParagraph"/>
              <w:spacing w:line="240" w:lineRule="auto"/>
              <w:ind w:left="35"/>
              <w:rPr>
                <w:bCs/>
                <w:color w:val="2E74B5" w:themeColor="accent5" w:themeShade="BF"/>
                <w:sz w:val="20"/>
                <w:lang w:val="hr-HR"/>
              </w:rPr>
            </w:pPr>
            <w:r w:rsidRPr="00487539">
              <w:rPr>
                <w:bCs/>
                <w:color w:val="2E74B5" w:themeColor="accent5" w:themeShade="BF"/>
                <w:sz w:val="20"/>
                <w:lang w:val="hr-HR"/>
              </w:rPr>
              <w:t>15,30</w:t>
            </w:r>
          </w:p>
        </w:tc>
      </w:tr>
    </w:tbl>
    <w:p w14:paraId="6415460A" w14:textId="60A5D8A2" w:rsidR="00487539" w:rsidRPr="00487539" w:rsidRDefault="00487539" w:rsidP="00487539">
      <w:pPr>
        <w:pStyle w:val="CM42"/>
        <w:spacing w:before="120"/>
        <w:jc w:val="center"/>
        <w:rPr>
          <w:rFonts w:ascii="Arial Narrow" w:hAnsi="Arial Narrow"/>
          <w:bCs/>
          <w:sz w:val="20"/>
          <w:szCs w:val="20"/>
        </w:rPr>
      </w:pPr>
      <w:r w:rsidRPr="00487539">
        <w:rPr>
          <w:rFonts w:ascii="Arial Narrow" w:hAnsi="Arial Narrow"/>
          <w:bCs/>
          <w:sz w:val="20"/>
          <w:szCs w:val="20"/>
        </w:rPr>
        <w:t xml:space="preserve">Članak </w:t>
      </w:r>
      <w:r w:rsidR="00F57848">
        <w:rPr>
          <w:rFonts w:ascii="Arial Narrow" w:hAnsi="Arial Narrow"/>
          <w:bCs/>
          <w:sz w:val="20"/>
          <w:szCs w:val="20"/>
        </w:rPr>
        <w:t>3</w:t>
      </w:r>
    </w:p>
    <w:p w14:paraId="1F2CDE41" w14:textId="77777777" w:rsidR="00487539" w:rsidRPr="00487539" w:rsidRDefault="00487539" w:rsidP="00487539">
      <w:pPr>
        <w:pStyle w:val="BodyText"/>
        <w:numPr>
          <w:ilvl w:val="12"/>
          <w:numId w:val="0"/>
        </w:numPr>
        <w:spacing w:after="120"/>
        <w:rPr>
          <w:rFonts w:ascii="Arial Narrow" w:hAnsi="Arial Narrow" w:cs="Arial"/>
          <w:b w:val="0"/>
          <w:lang w:val="hr-HR"/>
        </w:rPr>
      </w:pPr>
      <w:r w:rsidRPr="00487539">
        <w:rPr>
          <w:rFonts w:ascii="Arial Narrow" w:hAnsi="Arial Narrow" w:cs="Arial"/>
          <w:b w:val="0"/>
          <w:lang w:val="hr-HR"/>
        </w:rPr>
        <w:t>(1)</w:t>
      </w:r>
      <w:r w:rsidRPr="00487539">
        <w:rPr>
          <w:rFonts w:ascii="Arial Narrow" w:hAnsi="Arial Narrow" w:cs="Arial"/>
          <w:b w:val="0"/>
          <w:lang w:val="hr-HR"/>
        </w:rPr>
        <w:tab/>
        <w:t>U članku 6, stavak (1) između riječi „glavna zgrada“ umeće se zagrada „</w:t>
      </w:r>
      <w:r w:rsidRPr="00487539">
        <w:rPr>
          <w:rFonts w:ascii="Arial Narrow" w:hAnsi="Arial Narrow" w:cs="Arial"/>
          <w:b w:val="0"/>
          <w:color w:val="2E74B5" w:themeColor="accent5" w:themeShade="BF"/>
          <w:lang w:val="hr-HR"/>
        </w:rPr>
        <w:t>(osnovna)</w:t>
      </w:r>
      <w:r w:rsidRPr="00487539">
        <w:rPr>
          <w:rFonts w:ascii="Arial Narrow" w:hAnsi="Arial Narrow" w:cs="Arial"/>
          <w:b w:val="0"/>
          <w:lang w:val="hr-HR"/>
        </w:rPr>
        <w:t>“, iza riječi „više pomoćnih“ dodaju se riječi „</w:t>
      </w:r>
      <w:r w:rsidRPr="00487539">
        <w:rPr>
          <w:rFonts w:ascii="Arial Narrow" w:hAnsi="Arial Narrow" w:cs="Arial"/>
          <w:b w:val="0"/>
          <w:color w:val="2E74B5" w:themeColor="accent5" w:themeShade="BF"/>
          <w:lang w:val="hr-HR"/>
        </w:rPr>
        <w:t>i/ili pratećih</w:t>
      </w:r>
      <w:r w:rsidRPr="00487539">
        <w:rPr>
          <w:rFonts w:ascii="Arial Narrow" w:hAnsi="Arial Narrow" w:cs="Arial"/>
          <w:b w:val="0"/>
          <w:lang w:val="hr-HR"/>
        </w:rPr>
        <w:t>“ te na kraju rečenice između riječi „glavne zgrade“ umeće se zagrada „</w:t>
      </w:r>
      <w:r w:rsidRPr="00487539">
        <w:rPr>
          <w:rFonts w:ascii="Arial Narrow" w:hAnsi="Arial Narrow" w:cs="Arial"/>
          <w:b w:val="0"/>
          <w:color w:val="2E74B5" w:themeColor="accent5" w:themeShade="BF"/>
          <w:lang w:val="hr-HR"/>
        </w:rPr>
        <w:t>(osnovne)</w:t>
      </w:r>
      <w:r w:rsidRPr="00487539">
        <w:rPr>
          <w:rFonts w:ascii="Arial Narrow" w:hAnsi="Arial Narrow" w:cs="Arial"/>
          <w:b w:val="0"/>
          <w:lang w:val="hr-HR"/>
        </w:rPr>
        <w:t>“.</w:t>
      </w:r>
    </w:p>
    <w:p w14:paraId="17571751" w14:textId="5155B8F8" w:rsidR="00487539" w:rsidRPr="009369CA" w:rsidRDefault="00487539" w:rsidP="00487539">
      <w:pPr>
        <w:tabs>
          <w:tab w:val="left" w:pos="567"/>
          <w:tab w:val="left" w:pos="993"/>
        </w:tabs>
        <w:spacing w:after="0"/>
        <w:jc w:val="center"/>
        <w:rPr>
          <w:rFonts w:ascii="Arial Narrow" w:hAnsi="Arial Narrow" w:cs="Arial"/>
          <w:bCs/>
          <w:sz w:val="20"/>
          <w:szCs w:val="20"/>
        </w:rPr>
      </w:pPr>
      <w:r w:rsidRPr="009369CA">
        <w:rPr>
          <w:rFonts w:ascii="Arial Narrow" w:hAnsi="Arial Narrow" w:cs="Arial"/>
          <w:bCs/>
          <w:sz w:val="20"/>
          <w:szCs w:val="20"/>
        </w:rPr>
        <w:t xml:space="preserve">Članak </w:t>
      </w:r>
      <w:r w:rsidR="00F57848" w:rsidRPr="009369CA">
        <w:rPr>
          <w:rFonts w:ascii="Arial Narrow" w:hAnsi="Arial Narrow" w:cs="Arial"/>
          <w:bCs/>
          <w:sz w:val="20"/>
          <w:szCs w:val="20"/>
        </w:rPr>
        <w:t>4</w:t>
      </w:r>
    </w:p>
    <w:p w14:paraId="03263EA5"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w:t>
      </w:r>
      <w:r w:rsidRPr="009369CA">
        <w:rPr>
          <w:rFonts w:ascii="Arial Narrow" w:hAnsi="Arial Narrow" w:cs="Arial"/>
          <w:bCs/>
          <w:sz w:val="20"/>
          <w:szCs w:val="20"/>
        </w:rPr>
        <w:tab/>
        <w:t>U članku 7., stavak (1) između riječi „glavne zgrade“ umeće se zagrada „</w:t>
      </w:r>
      <w:r w:rsidRPr="009369CA">
        <w:rPr>
          <w:rFonts w:ascii="Arial Narrow" w:hAnsi="Arial Narrow" w:cs="Arial"/>
          <w:bCs/>
          <w:color w:val="2E74B5" w:themeColor="accent5" w:themeShade="BF"/>
          <w:sz w:val="20"/>
          <w:szCs w:val="20"/>
        </w:rPr>
        <w:t>(osnovne)</w:t>
      </w:r>
      <w:r w:rsidRPr="009369CA">
        <w:rPr>
          <w:rFonts w:ascii="Arial Narrow" w:hAnsi="Arial Narrow" w:cs="Arial"/>
          <w:bCs/>
          <w:sz w:val="20"/>
          <w:szCs w:val="20"/>
        </w:rPr>
        <w:t>“.</w:t>
      </w:r>
    </w:p>
    <w:p w14:paraId="6D3DE69A" w14:textId="77777777" w:rsidR="00487539" w:rsidRPr="009369CA" w:rsidRDefault="00487539" w:rsidP="00487539">
      <w:pPr>
        <w:spacing w:after="0"/>
        <w:jc w:val="both"/>
        <w:rPr>
          <w:rFonts w:ascii="Arial Narrow" w:hAnsi="Arial Narrow" w:cs="Arial"/>
          <w:bCs/>
          <w:sz w:val="20"/>
          <w:szCs w:val="20"/>
        </w:rPr>
      </w:pPr>
      <w:r w:rsidRPr="009369CA">
        <w:rPr>
          <w:rFonts w:ascii="Arial Narrow" w:hAnsi="Arial Narrow" w:cs="Arial"/>
          <w:bCs/>
          <w:sz w:val="20"/>
          <w:szCs w:val="20"/>
        </w:rPr>
        <w:t>(2)</w:t>
      </w:r>
      <w:r w:rsidRPr="009369CA">
        <w:rPr>
          <w:rFonts w:ascii="Arial Narrow" w:hAnsi="Arial Narrow" w:cs="Arial"/>
          <w:bCs/>
          <w:sz w:val="20"/>
          <w:szCs w:val="20"/>
        </w:rPr>
        <w:tab/>
        <w:t>U istom članku, iza stavka (2) dodaje se stavak (3) čiji tekst glasi:</w:t>
      </w:r>
    </w:p>
    <w:p w14:paraId="7AC497A8" w14:textId="77777777" w:rsidR="00487539" w:rsidRPr="009369CA" w:rsidRDefault="00487539" w:rsidP="00487539">
      <w:pPr>
        <w:jc w:val="both"/>
        <w:rPr>
          <w:rFonts w:ascii="Arial Narrow" w:hAnsi="Arial Narrow" w:cs="Arial"/>
          <w:bCs/>
          <w:color w:val="538135" w:themeColor="accent6" w:themeShade="BF"/>
          <w:sz w:val="20"/>
          <w:szCs w:val="20"/>
        </w:rPr>
      </w:pPr>
      <w:r w:rsidRPr="009369CA">
        <w:rPr>
          <w:rFonts w:ascii="Arial Narrow" w:hAnsi="Arial Narrow" w:cs="Arial"/>
          <w:bCs/>
          <w:sz w:val="20"/>
          <w:szCs w:val="20"/>
        </w:rPr>
        <w:t>„</w:t>
      </w:r>
      <w:r w:rsidRPr="009369CA">
        <w:rPr>
          <w:rFonts w:ascii="Arial Narrow" w:hAnsi="Arial Narrow" w:cs="Arial"/>
          <w:bCs/>
          <w:color w:val="2E74B5" w:themeColor="accent5" w:themeShade="BF"/>
          <w:sz w:val="20"/>
          <w:szCs w:val="20"/>
        </w:rPr>
        <w:t>(3)</w:t>
      </w:r>
      <w:r w:rsidRPr="009369CA">
        <w:rPr>
          <w:rFonts w:ascii="Arial Narrow" w:hAnsi="Arial Narrow" w:cs="Arial"/>
          <w:bCs/>
          <w:color w:val="2E74B5" w:themeColor="accent5" w:themeShade="BF"/>
          <w:sz w:val="20"/>
          <w:szCs w:val="20"/>
        </w:rPr>
        <w:tab/>
        <w:t>Iznimno od odredbe navedene u članku 3., stavak (1), točka 1.2. na građevnoj crti određenoj ovim Planom za građevnu česticu s oznakom M-57 treba se nalaziti pročelje u najmanjoj duljini od 3,00 m iz razloga što se sjeverni dio te građevne čestice koristi kao put služnosti do KPP-a oznake IS-17, a koji služi kao pristup do građevnih čestica M-58, M31 i M-32 (dok se ne izgradi ostatak planirane ulice prema istoku, a što nije izgledno u skorije vrijeme).</w:t>
      </w:r>
      <w:r w:rsidRPr="009369CA">
        <w:rPr>
          <w:rFonts w:ascii="Arial Narrow" w:hAnsi="Arial Narrow" w:cs="Arial"/>
          <w:bCs/>
          <w:sz w:val="20"/>
          <w:szCs w:val="20"/>
        </w:rPr>
        <w:t xml:space="preserve">“ </w:t>
      </w:r>
      <w:r w:rsidRPr="009369CA">
        <w:rPr>
          <w:rFonts w:ascii="Arial Narrow" w:hAnsi="Arial Narrow" w:cs="Arial"/>
          <w:bCs/>
          <w:color w:val="538135" w:themeColor="accent6" w:themeShade="BF"/>
          <w:sz w:val="20"/>
          <w:szCs w:val="20"/>
        </w:rPr>
        <w:t xml:space="preserve"> </w:t>
      </w:r>
    </w:p>
    <w:p w14:paraId="62FB0695" w14:textId="75DA4353" w:rsidR="00487539" w:rsidRPr="00487539" w:rsidRDefault="00487539" w:rsidP="00487539">
      <w:pPr>
        <w:spacing w:after="60"/>
        <w:jc w:val="center"/>
        <w:rPr>
          <w:rFonts w:ascii="Arial Narrow" w:hAnsi="Arial Narrow" w:cs="Arial"/>
          <w:bCs/>
          <w:szCs w:val="20"/>
        </w:rPr>
      </w:pPr>
      <w:r w:rsidRPr="00487539">
        <w:rPr>
          <w:rFonts w:ascii="Arial Narrow" w:hAnsi="Arial Narrow" w:cs="Arial"/>
          <w:bCs/>
          <w:szCs w:val="20"/>
        </w:rPr>
        <w:t xml:space="preserve">Članak </w:t>
      </w:r>
      <w:r w:rsidR="00F57848">
        <w:rPr>
          <w:rFonts w:ascii="Arial Narrow" w:hAnsi="Arial Narrow" w:cs="Arial"/>
          <w:bCs/>
          <w:szCs w:val="20"/>
        </w:rPr>
        <w:t>5</w:t>
      </w:r>
    </w:p>
    <w:p w14:paraId="53387A63" w14:textId="77777777" w:rsidR="00487539" w:rsidRPr="00487539" w:rsidRDefault="00487539" w:rsidP="00487539">
      <w:pPr>
        <w:pStyle w:val="ListParagraph"/>
        <w:widowControl w:val="0"/>
        <w:numPr>
          <w:ilvl w:val="0"/>
          <w:numId w:val="3"/>
        </w:numPr>
        <w:autoSpaceDE w:val="0"/>
        <w:autoSpaceDN w:val="0"/>
        <w:spacing w:after="60"/>
        <w:ind w:left="0" w:firstLine="0"/>
        <w:jc w:val="both"/>
        <w:rPr>
          <w:rFonts w:ascii="Arial Narrow" w:hAnsi="Arial Narrow"/>
          <w:bCs/>
          <w:szCs w:val="20"/>
        </w:rPr>
      </w:pPr>
      <w:r w:rsidRPr="00487539">
        <w:rPr>
          <w:rFonts w:ascii="Arial Narrow" w:hAnsi="Arial Narrow"/>
          <w:bCs/>
          <w:szCs w:val="20"/>
        </w:rPr>
        <w:t xml:space="preserve">U članku 8, u stavcima (1) i (2) </w:t>
      </w:r>
      <w:r w:rsidRPr="00487539">
        <w:rPr>
          <w:rFonts w:ascii="Arial Narrow" w:hAnsi="Arial Narrow" w:cs="Arial"/>
          <w:bCs/>
        </w:rPr>
        <w:t>između riječi „glavne zgrade“ umeće se zagrada „</w:t>
      </w:r>
      <w:r w:rsidRPr="00487539">
        <w:rPr>
          <w:rFonts w:ascii="Arial Narrow" w:hAnsi="Arial Narrow" w:cs="Arial"/>
          <w:bCs/>
          <w:color w:val="2E74B5" w:themeColor="accent5" w:themeShade="BF"/>
        </w:rPr>
        <w:t>(osnovne)</w:t>
      </w:r>
      <w:r w:rsidRPr="00487539">
        <w:rPr>
          <w:rFonts w:ascii="Arial Narrow" w:hAnsi="Arial Narrow" w:cs="Arial"/>
          <w:bCs/>
        </w:rPr>
        <w:t>“.</w:t>
      </w:r>
    </w:p>
    <w:p w14:paraId="38BC1643" w14:textId="77777777" w:rsidR="00487539" w:rsidRPr="00487539" w:rsidRDefault="00487539" w:rsidP="00487539">
      <w:pPr>
        <w:pStyle w:val="ListParagraph"/>
        <w:widowControl w:val="0"/>
        <w:numPr>
          <w:ilvl w:val="0"/>
          <w:numId w:val="3"/>
        </w:numPr>
        <w:autoSpaceDE w:val="0"/>
        <w:autoSpaceDN w:val="0"/>
        <w:spacing w:after="120"/>
        <w:ind w:left="0" w:firstLine="0"/>
        <w:jc w:val="both"/>
        <w:rPr>
          <w:rFonts w:ascii="Arial Narrow" w:hAnsi="Arial Narrow"/>
          <w:bCs/>
          <w:szCs w:val="20"/>
        </w:rPr>
      </w:pPr>
      <w:r w:rsidRPr="00487539">
        <w:rPr>
          <w:rFonts w:ascii="Arial Narrow" w:hAnsi="Arial Narrow"/>
          <w:bCs/>
          <w:szCs w:val="20"/>
        </w:rPr>
        <w:t>U istom članku, tekst stavka (3) zamjenjuje se novim koji glasi: „</w:t>
      </w:r>
      <w:r w:rsidRPr="00487539">
        <w:rPr>
          <w:rFonts w:ascii="Arial Narrow" w:hAnsi="Arial Narrow"/>
          <w:bCs/>
          <w:color w:val="2E74B5" w:themeColor="accent5" w:themeShade="BF"/>
          <w:szCs w:val="20"/>
        </w:rPr>
        <w:t>Pomoćne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građevine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planiraju</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se</w:t>
      </w:r>
      <w:r w:rsidRPr="00487539">
        <w:rPr>
          <w:rFonts w:ascii="Arial Narrow" w:hAnsi="Arial Narrow"/>
          <w:bCs/>
          <w:color w:val="2E74B5" w:themeColor="accent5" w:themeShade="BF"/>
          <w:spacing w:val="-2"/>
          <w:szCs w:val="20"/>
        </w:rPr>
        <w:t xml:space="preserve"> </w:t>
      </w:r>
      <w:r w:rsidRPr="00487539">
        <w:rPr>
          <w:rFonts w:ascii="Arial Narrow" w:hAnsi="Arial Narrow"/>
          <w:bCs/>
          <w:color w:val="2E74B5" w:themeColor="accent5" w:themeShade="BF"/>
          <w:szCs w:val="20"/>
        </w:rPr>
        <w:t>i</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grade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unutar</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gradivog</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dijela</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građevne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čestice,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pacing w:val="-5"/>
          <w:szCs w:val="20"/>
        </w:rPr>
        <w:t>uz</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uvjet</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da</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se</w:t>
      </w:r>
      <w:r w:rsidRPr="00487539">
        <w:rPr>
          <w:rFonts w:ascii="Arial Narrow" w:hAnsi="Arial Narrow"/>
          <w:bCs/>
          <w:color w:val="2E74B5" w:themeColor="accent5" w:themeShade="BF"/>
          <w:spacing w:val="-2"/>
          <w:szCs w:val="20"/>
        </w:rPr>
        <w:t xml:space="preserve"> </w:t>
      </w:r>
      <w:r w:rsidRPr="00487539">
        <w:rPr>
          <w:rFonts w:ascii="Arial Narrow" w:hAnsi="Arial Narrow"/>
          <w:bCs/>
          <w:color w:val="2E74B5" w:themeColor="accent5" w:themeShade="BF"/>
          <w:szCs w:val="20"/>
        </w:rPr>
        <w:t>između</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građevne</w:t>
      </w:r>
      <w:r w:rsidRPr="00487539">
        <w:rPr>
          <w:rFonts w:ascii="Arial Narrow" w:hAnsi="Arial Narrow"/>
          <w:bCs/>
          <w:color w:val="2E74B5" w:themeColor="accent5" w:themeShade="BF"/>
          <w:spacing w:val="-3"/>
          <w:szCs w:val="20"/>
        </w:rPr>
        <w:t xml:space="preserve"> </w:t>
      </w:r>
      <w:r w:rsidRPr="00487539">
        <w:rPr>
          <w:rFonts w:ascii="Arial Narrow" w:hAnsi="Arial Narrow"/>
          <w:bCs/>
          <w:color w:val="2E74B5" w:themeColor="accent5" w:themeShade="BF"/>
          <w:szCs w:val="20"/>
        </w:rPr>
        <w:t>i regulacijske crte mogu planirati i graditi jedino garaže za osobna vozila i/ili zatvoreni, natkriveni ili otvoreni bazeni (ako ispunjava uvjete iz članka 54, stavak (2) i (3), Odredbi za provedbu Prostornog plana Općine Postira), a ukupna širina pročelja pomoćnih građevina na regulacijskoj crti smije biti najviše 8,00 m. Kod građevne čestice M-57 moguća je izvedba garaže na 1,00 m od zapadnog ruba građevne čestice pod uvjetom da se na tom pročelju ne planiraju otvori. Udaljenost građevne crte svih planiranih zgrada na toj čestici mjeri se od sjevernog ruba građevne čestice (bez obzira na omogućeno korištenje sjevernog dijela čestice kao puta služnosti do građevnih čestica M-58, M-31 i M-32 iz razloga što je on planiran na određeno vrijeme – do ostvarenja stambene prometnice sjeverno od čestica M-57 i M-58 u planiranom presjeku). Položaj zgrade na M-57 određen je u skladu s odredbom iz članka 7., stavak (3).</w:t>
      </w:r>
      <w:r w:rsidRPr="00487539">
        <w:rPr>
          <w:rFonts w:ascii="Arial Narrow" w:hAnsi="Arial Narrow"/>
          <w:bCs/>
          <w:szCs w:val="20"/>
        </w:rPr>
        <w:t>“.</w:t>
      </w:r>
    </w:p>
    <w:p w14:paraId="22AECA34" w14:textId="11EAC027" w:rsidR="00487539" w:rsidRPr="009369CA" w:rsidRDefault="00487539" w:rsidP="009369CA">
      <w:pPr>
        <w:tabs>
          <w:tab w:val="left" w:pos="567"/>
          <w:tab w:val="left" w:pos="993"/>
        </w:tabs>
        <w:spacing w:after="60"/>
        <w:jc w:val="center"/>
        <w:rPr>
          <w:rFonts w:ascii="Arial Narrow" w:hAnsi="Arial Narrow" w:cs="Arial"/>
          <w:bCs/>
          <w:sz w:val="20"/>
          <w:szCs w:val="20"/>
        </w:rPr>
      </w:pPr>
      <w:r w:rsidRPr="009369CA">
        <w:rPr>
          <w:rFonts w:ascii="Arial Narrow" w:hAnsi="Arial Narrow" w:cs="Arial"/>
          <w:bCs/>
          <w:sz w:val="20"/>
          <w:szCs w:val="20"/>
        </w:rPr>
        <w:t xml:space="preserve">Članak </w:t>
      </w:r>
      <w:r w:rsidR="00F57848" w:rsidRPr="009369CA">
        <w:rPr>
          <w:rFonts w:ascii="Arial Narrow" w:hAnsi="Arial Narrow" w:cs="Arial"/>
          <w:bCs/>
          <w:sz w:val="20"/>
          <w:szCs w:val="20"/>
        </w:rPr>
        <w:t>6</w:t>
      </w:r>
    </w:p>
    <w:p w14:paraId="268FF9C5"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(1)</w:t>
      </w:r>
      <w:r w:rsidRPr="009369CA">
        <w:rPr>
          <w:rFonts w:ascii="Arial Narrow" w:hAnsi="Arial Narrow" w:cs="Arial"/>
          <w:bCs/>
          <w:sz w:val="20"/>
          <w:szCs w:val="20"/>
        </w:rPr>
        <w:tab/>
        <w:t>U članku 9, stavak (1) briše se, a stavci (2) do (5) postaju stavci (1) do (4).</w:t>
      </w:r>
    </w:p>
    <w:p w14:paraId="7C6DBBFA"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(2)</w:t>
      </w:r>
      <w:r w:rsidRPr="009369CA">
        <w:rPr>
          <w:rFonts w:ascii="Arial Narrow" w:hAnsi="Arial Narrow" w:cs="Arial"/>
          <w:bCs/>
          <w:sz w:val="20"/>
          <w:szCs w:val="20"/>
        </w:rPr>
        <w:tab/>
        <w:t>U istom članku, novom stavku (1) u alineji b) broj „</w:t>
      </w:r>
      <w:r w:rsidRPr="009369CA">
        <w:rPr>
          <w:rFonts w:ascii="Arial Narrow" w:hAnsi="Arial Narrow" w:cs="Arial"/>
          <w:bCs/>
          <w:color w:val="FF0000"/>
          <w:sz w:val="20"/>
          <w:szCs w:val="20"/>
        </w:rPr>
        <w:t>1,00</w:t>
      </w:r>
      <w:r w:rsidRPr="009369CA">
        <w:rPr>
          <w:rFonts w:ascii="Arial Narrow" w:hAnsi="Arial Narrow" w:cs="Arial"/>
          <w:bCs/>
          <w:sz w:val="20"/>
          <w:szCs w:val="20"/>
        </w:rPr>
        <w:t>“ zamjenjuje se brojem „</w:t>
      </w:r>
      <w:r w:rsidRPr="009369CA">
        <w:rPr>
          <w:rFonts w:ascii="Arial Narrow" w:hAnsi="Arial Narrow" w:cs="Arial"/>
          <w:bCs/>
          <w:color w:val="2E74B5" w:themeColor="accent5" w:themeShade="BF"/>
          <w:sz w:val="20"/>
          <w:szCs w:val="20"/>
        </w:rPr>
        <w:t>0,60</w:t>
      </w:r>
      <w:r w:rsidRPr="009369CA">
        <w:rPr>
          <w:rFonts w:ascii="Arial Narrow" w:hAnsi="Arial Narrow" w:cs="Arial"/>
          <w:bCs/>
          <w:sz w:val="20"/>
          <w:szCs w:val="20"/>
        </w:rPr>
        <w:t>“. Iza alineje c) dodaje se nova alineja d) koja glasi: „</w:t>
      </w:r>
      <w:r w:rsidRPr="009369CA">
        <w:rPr>
          <w:rFonts w:ascii="Arial Narrow" w:hAnsi="Arial Narrow" w:cs="Arial"/>
          <w:bCs/>
          <w:color w:val="2E74B5" w:themeColor="accent5" w:themeShade="BF"/>
          <w:sz w:val="20"/>
          <w:szCs w:val="20"/>
        </w:rPr>
        <w:t>d)   otvoreni bazeni površine do najviše 50,00 m</w:t>
      </w:r>
      <w:r w:rsidRPr="009369CA">
        <w:rPr>
          <w:rFonts w:ascii="Arial Narrow" w:hAnsi="Arial Narrow" w:cs="Arial"/>
          <w:bCs/>
          <w:color w:val="2E74B5" w:themeColor="accent5" w:themeShade="BF"/>
          <w:sz w:val="20"/>
          <w:szCs w:val="20"/>
          <w:vertAlign w:val="superscript"/>
        </w:rPr>
        <w:t>2</w:t>
      </w:r>
      <w:r w:rsidRPr="009369CA">
        <w:rPr>
          <w:rFonts w:ascii="Arial Narrow" w:hAnsi="Arial Narrow" w:cs="Arial"/>
          <w:bCs/>
          <w:color w:val="2E74B5" w:themeColor="accent5" w:themeShade="BF"/>
          <w:sz w:val="20"/>
          <w:szCs w:val="20"/>
        </w:rPr>
        <w:t>.</w:t>
      </w:r>
      <w:r w:rsidRPr="009369CA">
        <w:rPr>
          <w:rFonts w:ascii="Arial Narrow" w:hAnsi="Arial Narrow" w:cs="Arial"/>
          <w:bCs/>
          <w:sz w:val="20"/>
          <w:szCs w:val="20"/>
        </w:rPr>
        <w:t>“</w:t>
      </w:r>
    </w:p>
    <w:p w14:paraId="18D1559E"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(3)</w:t>
      </w:r>
      <w:r w:rsidRPr="009369CA">
        <w:rPr>
          <w:rFonts w:ascii="Arial Narrow" w:hAnsi="Arial Narrow" w:cs="Arial"/>
          <w:bCs/>
          <w:sz w:val="20"/>
          <w:szCs w:val="20"/>
        </w:rPr>
        <w:tab/>
        <w:t>U istom članku, novom stavku (2) u podnaslovu krajnjeg desnog stupca riječ „</w:t>
      </w:r>
      <w:r w:rsidRPr="009369CA">
        <w:rPr>
          <w:rFonts w:ascii="Arial Narrow" w:hAnsi="Arial Narrow" w:cs="Arial"/>
          <w:bCs/>
          <w:color w:val="FF0000"/>
          <w:sz w:val="20"/>
          <w:szCs w:val="20"/>
        </w:rPr>
        <w:t>iskorištenosti</w:t>
      </w:r>
      <w:r w:rsidRPr="009369CA">
        <w:rPr>
          <w:rFonts w:ascii="Arial Narrow" w:hAnsi="Arial Narrow" w:cs="Arial"/>
          <w:bCs/>
          <w:sz w:val="20"/>
          <w:szCs w:val="20"/>
        </w:rPr>
        <w:t>“ zamjenjuje se riječju „</w:t>
      </w:r>
      <w:r w:rsidRPr="009369CA">
        <w:rPr>
          <w:rFonts w:ascii="Arial Narrow" w:hAnsi="Arial Narrow" w:cs="Arial"/>
          <w:bCs/>
          <w:color w:val="2E74B5" w:themeColor="accent5" w:themeShade="BF"/>
          <w:sz w:val="20"/>
          <w:szCs w:val="20"/>
        </w:rPr>
        <w:t>iskoristivosti</w:t>
      </w:r>
      <w:r w:rsidRPr="009369CA">
        <w:rPr>
          <w:rFonts w:ascii="Arial Narrow" w:hAnsi="Arial Narrow" w:cs="Arial"/>
          <w:bCs/>
          <w:sz w:val="20"/>
          <w:szCs w:val="20"/>
        </w:rPr>
        <w:t>“.</w:t>
      </w:r>
    </w:p>
    <w:p w14:paraId="31CE422D" w14:textId="77777777" w:rsidR="00487539" w:rsidRPr="009369CA" w:rsidRDefault="00487539" w:rsidP="00487539">
      <w:pPr>
        <w:spacing w:after="60"/>
        <w:jc w:val="both"/>
        <w:rPr>
          <w:rFonts w:ascii="Arial Narrow" w:hAnsi="Arial Narrow" w:cs="Arial"/>
          <w:bCs/>
          <w:sz w:val="20"/>
          <w:szCs w:val="20"/>
        </w:rPr>
      </w:pPr>
      <w:r w:rsidRPr="009369CA">
        <w:rPr>
          <w:rFonts w:ascii="Arial Narrow" w:hAnsi="Arial Narrow" w:cs="Arial"/>
          <w:bCs/>
          <w:sz w:val="20"/>
          <w:szCs w:val="20"/>
        </w:rPr>
        <w:t>(4)</w:t>
      </w:r>
      <w:r w:rsidRPr="009369CA">
        <w:rPr>
          <w:rFonts w:ascii="Arial Narrow" w:hAnsi="Arial Narrow" w:cs="Arial"/>
          <w:bCs/>
          <w:sz w:val="20"/>
          <w:szCs w:val="20"/>
        </w:rPr>
        <w:tab/>
        <w:t>U istom članku, novom stavku (3) riječ „</w:t>
      </w:r>
      <w:r w:rsidRPr="009369CA">
        <w:rPr>
          <w:rFonts w:ascii="Arial Narrow" w:hAnsi="Arial Narrow" w:cs="Arial"/>
          <w:bCs/>
          <w:color w:val="FF0000"/>
          <w:sz w:val="20"/>
          <w:szCs w:val="20"/>
        </w:rPr>
        <w:t>dopušteni</w:t>
      </w:r>
      <w:r w:rsidRPr="009369CA">
        <w:rPr>
          <w:rFonts w:ascii="Arial Narrow" w:hAnsi="Arial Narrow" w:cs="Arial"/>
          <w:bCs/>
          <w:sz w:val="20"/>
          <w:szCs w:val="20"/>
        </w:rPr>
        <w:t>“ zamjenjuje se riječju „</w:t>
      </w:r>
      <w:r w:rsidRPr="009369CA">
        <w:rPr>
          <w:rFonts w:ascii="Arial Narrow" w:hAnsi="Arial Narrow" w:cs="Arial"/>
          <w:bCs/>
          <w:color w:val="2E74B5" w:themeColor="accent5" w:themeShade="BF"/>
          <w:sz w:val="20"/>
          <w:szCs w:val="20"/>
        </w:rPr>
        <w:t>dozvoljeni</w:t>
      </w:r>
      <w:r w:rsidRPr="009369CA">
        <w:rPr>
          <w:rFonts w:ascii="Arial Narrow" w:hAnsi="Arial Narrow" w:cs="Arial"/>
          <w:bCs/>
          <w:sz w:val="20"/>
          <w:szCs w:val="20"/>
        </w:rPr>
        <w:t>“, a riječi „</w:t>
      </w:r>
      <w:r w:rsidRPr="009369CA">
        <w:rPr>
          <w:rFonts w:ascii="Arial Narrow" w:hAnsi="Arial Narrow" w:cs="Arial"/>
          <w:bCs/>
          <w:color w:val="FF0000"/>
          <w:sz w:val="20"/>
          <w:szCs w:val="20"/>
        </w:rPr>
        <w:t>koji iznosi</w:t>
      </w:r>
      <w:r w:rsidRPr="009369CA">
        <w:rPr>
          <w:rFonts w:ascii="Arial Narrow" w:hAnsi="Arial Narrow" w:cs="Arial"/>
          <w:bCs/>
          <w:sz w:val="20"/>
          <w:szCs w:val="20"/>
        </w:rPr>
        <w:t>“ zamjenjuju se riječima „</w:t>
      </w:r>
      <w:r w:rsidRPr="009369CA">
        <w:rPr>
          <w:rFonts w:ascii="Arial Narrow" w:hAnsi="Arial Narrow" w:cs="Arial"/>
          <w:bCs/>
          <w:color w:val="2E74B5" w:themeColor="accent5" w:themeShade="BF"/>
          <w:sz w:val="20"/>
          <w:szCs w:val="20"/>
        </w:rPr>
        <w:t>ne veći od</w:t>
      </w:r>
      <w:r w:rsidRPr="009369CA">
        <w:rPr>
          <w:rFonts w:ascii="Arial Narrow" w:hAnsi="Arial Narrow" w:cs="Arial"/>
          <w:bCs/>
          <w:sz w:val="20"/>
          <w:szCs w:val="20"/>
        </w:rPr>
        <w:t>“.</w:t>
      </w:r>
    </w:p>
    <w:p w14:paraId="50CD7F87" w14:textId="77777777" w:rsidR="00487539" w:rsidRPr="009369CA" w:rsidRDefault="00487539" w:rsidP="00487539">
      <w:pPr>
        <w:jc w:val="both"/>
        <w:rPr>
          <w:rFonts w:ascii="Arial Narrow" w:hAnsi="Arial Narrow" w:cs="Arial"/>
          <w:bCs/>
          <w:sz w:val="20"/>
          <w:szCs w:val="20"/>
        </w:rPr>
      </w:pPr>
      <w:r w:rsidRPr="009369CA">
        <w:rPr>
          <w:rFonts w:ascii="Arial Narrow" w:hAnsi="Arial Narrow" w:cs="Arial"/>
          <w:bCs/>
          <w:sz w:val="20"/>
          <w:szCs w:val="20"/>
        </w:rPr>
        <w:lastRenderedPageBreak/>
        <w:t>(5)</w:t>
      </w:r>
      <w:r w:rsidRPr="009369CA">
        <w:rPr>
          <w:rFonts w:ascii="Arial Narrow" w:hAnsi="Arial Narrow" w:cs="Arial"/>
          <w:bCs/>
          <w:sz w:val="20"/>
          <w:szCs w:val="20"/>
        </w:rPr>
        <w:tab/>
        <w:t>U istom članku, novi stavak (4) riječ „</w:t>
      </w:r>
      <w:r w:rsidRPr="009369CA">
        <w:rPr>
          <w:rFonts w:ascii="Arial Narrow" w:hAnsi="Arial Narrow" w:cs="Arial"/>
          <w:bCs/>
          <w:color w:val="FF0000"/>
          <w:sz w:val="20"/>
          <w:szCs w:val="20"/>
        </w:rPr>
        <w:t>uz</w:t>
      </w:r>
      <w:r w:rsidRPr="009369CA">
        <w:rPr>
          <w:rFonts w:ascii="Arial Narrow" w:hAnsi="Arial Narrow" w:cs="Arial"/>
          <w:bCs/>
          <w:sz w:val="20"/>
          <w:szCs w:val="20"/>
        </w:rPr>
        <w:t>“ zamjenjuje se riječju „</w:t>
      </w:r>
      <w:r w:rsidRPr="009369CA">
        <w:rPr>
          <w:rFonts w:ascii="Arial Narrow" w:hAnsi="Arial Narrow" w:cs="Arial"/>
          <w:bCs/>
          <w:color w:val="2E74B5" w:themeColor="accent5" w:themeShade="BF"/>
          <w:sz w:val="20"/>
          <w:szCs w:val="20"/>
        </w:rPr>
        <w:t>a</w:t>
      </w:r>
      <w:r w:rsidRPr="009369CA">
        <w:rPr>
          <w:rFonts w:ascii="Arial Narrow" w:hAnsi="Arial Narrow" w:cs="Arial"/>
          <w:bCs/>
          <w:sz w:val="20"/>
          <w:szCs w:val="20"/>
        </w:rPr>
        <w:t>“, riječ „</w:t>
      </w:r>
      <w:r w:rsidRPr="009369CA">
        <w:rPr>
          <w:rFonts w:ascii="Arial Narrow" w:hAnsi="Arial Narrow" w:cs="Arial"/>
          <w:bCs/>
          <w:color w:val="FF0000"/>
          <w:sz w:val="20"/>
          <w:szCs w:val="20"/>
        </w:rPr>
        <w:t>dopušteni</w:t>
      </w:r>
      <w:r w:rsidRPr="009369CA">
        <w:rPr>
          <w:rFonts w:ascii="Arial Narrow" w:hAnsi="Arial Narrow" w:cs="Arial"/>
          <w:bCs/>
          <w:sz w:val="20"/>
          <w:szCs w:val="20"/>
        </w:rPr>
        <w:t>“ riječju „</w:t>
      </w:r>
      <w:r w:rsidRPr="009369CA">
        <w:rPr>
          <w:rFonts w:ascii="Arial Narrow" w:hAnsi="Arial Narrow" w:cs="Arial"/>
          <w:bCs/>
          <w:color w:val="2E74B5" w:themeColor="accent5" w:themeShade="BF"/>
          <w:sz w:val="20"/>
          <w:szCs w:val="20"/>
        </w:rPr>
        <w:t>dozvoljeni</w:t>
      </w:r>
      <w:r w:rsidRPr="009369CA">
        <w:rPr>
          <w:rFonts w:ascii="Arial Narrow" w:hAnsi="Arial Narrow" w:cs="Arial"/>
          <w:bCs/>
          <w:sz w:val="20"/>
          <w:szCs w:val="20"/>
        </w:rPr>
        <w:t>“, a riječi „</w:t>
      </w:r>
      <w:r w:rsidRPr="009369CA">
        <w:rPr>
          <w:rFonts w:ascii="Arial Narrow" w:hAnsi="Arial Narrow" w:cs="Arial"/>
          <w:bCs/>
          <w:color w:val="FF0000"/>
          <w:sz w:val="20"/>
          <w:szCs w:val="20"/>
        </w:rPr>
        <w:t>koji iznosi</w:t>
      </w:r>
      <w:r w:rsidRPr="009369CA">
        <w:rPr>
          <w:rFonts w:ascii="Arial Narrow" w:hAnsi="Arial Narrow" w:cs="Arial"/>
          <w:bCs/>
          <w:sz w:val="20"/>
          <w:szCs w:val="20"/>
        </w:rPr>
        <w:t>“ zamjenjuju se riječima „</w:t>
      </w:r>
      <w:r w:rsidRPr="009369CA">
        <w:rPr>
          <w:rFonts w:ascii="Arial Narrow" w:hAnsi="Arial Narrow" w:cs="Arial"/>
          <w:bCs/>
          <w:color w:val="2E74B5" w:themeColor="accent5" w:themeShade="BF"/>
          <w:sz w:val="20"/>
          <w:szCs w:val="20"/>
        </w:rPr>
        <w:t>ne veći od</w:t>
      </w:r>
      <w:r w:rsidRPr="009369CA">
        <w:rPr>
          <w:rFonts w:ascii="Arial Narrow" w:hAnsi="Arial Narrow" w:cs="Arial"/>
          <w:bCs/>
          <w:sz w:val="20"/>
          <w:szCs w:val="20"/>
        </w:rPr>
        <w:t>“.</w:t>
      </w:r>
    </w:p>
    <w:p w14:paraId="76A24D4F" w14:textId="144ABABE" w:rsidR="00487539" w:rsidRPr="00487539" w:rsidRDefault="00487539" w:rsidP="00487539">
      <w:pPr>
        <w:tabs>
          <w:tab w:val="left" w:pos="567"/>
          <w:tab w:val="left" w:pos="993"/>
        </w:tabs>
        <w:spacing w:after="60"/>
        <w:jc w:val="center"/>
        <w:rPr>
          <w:rFonts w:ascii="Arial Narrow" w:hAnsi="Arial Narrow" w:cs="Arial"/>
          <w:bCs/>
          <w:szCs w:val="20"/>
        </w:rPr>
      </w:pPr>
      <w:r w:rsidRPr="00487539">
        <w:rPr>
          <w:rFonts w:ascii="Arial Narrow" w:hAnsi="Arial Narrow" w:cs="Arial"/>
          <w:bCs/>
          <w:szCs w:val="20"/>
        </w:rPr>
        <w:t xml:space="preserve">Članak </w:t>
      </w:r>
      <w:r w:rsidR="002E4869">
        <w:rPr>
          <w:rFonts w:ascii="Arial Narrow" w:hAnsi="Arial Narrow" w:cs="Arial"/>
          <w:bCs/>
          <w:szCs w:val="20"/>
        </w:rPr>
        <w:t>7</w:t>
      </w:r>
    </w:p>
    <w:p w14:paraId="4B7CC5C9"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10, stavak (1) riječ „</w:t>
      </w:r>
      <w:r w:rsidRPr="00487539">
        <w:rPr>
          <w:rFonts w:ascii="Arial Narrow" w:hAnsi="Arial Narrow"/>
          <w:bCs/>
          <w:color w:val="FF0000"/>
          <w:sz w:val="20"/>
          <w:szCs w:val="20"/>
        </w:rPr>
        <w:t>dopuštena</w:t>
      </w:r>
      <w:r w:rsidRPr="00487539">
        <w:rPr>
          <w:rFonts w:ascii="Arial Narrow" w:hAnsi="Arial Narrow"/>
          <w:bCs/>
          <w:color w:val="auto"/>
          <w:sz w:val="20"/>
          <w:szCs w:val="20"/>
        </w:rPr>
        <w:t>“ (u svim padežima) zamjenjuje se riječju „</w:t>
      </w:r>
      <w:r w:rsidRPr="00487539">
        <w:rPr>
          <w:rFonts w:ascii="Arial Narrow" w:hAnsi="Arial Narrow"/>
          <w:bCs/>
          <w:color w:val="2E74B5" w:themeColor="accent5" w:themeShade="BF"/>
          <w:sz w:val="20"/>
          <w:szCs w:val="20"/>
        </w:rPr>
        <w:t>dozvoljena</w:t>
      </w:r>
      <w:r w:rsidRPr="00487539">
        <w:rPr>
          <w:rFonts w:ascii="Arial Narrow" w:hAnsi="Arial Narrow"/>
          <w:bCs/>
          <w:color w:val="auto"/>
          <w:sz w:val="20"/>
          <w:szCs w:val="20"/>
        </w:rPr>
        <w:t>“ (u svim padežima), a riječ „</w:t>
      </w:r>
      <w:r w:rsidRPr="00487539">
        <w:rPr>
          <w:rFonts w:ascii="Arial Narrow" w:hAnsi="Arial Narrow"/>
          <w:bCs/>
          <w:color w:val="FF0000"/>
          <w:sz w:val="20"/>
          <w:szCs w:val="20"/>
        </w:rPr>
        <w:t>etaža</w:t>
      </w:r>
      <w:r w:rsidRPr="00487539">
        <w:rPr>
          <w:rFonts w:ascii="Arial Narrow" w:hAnsi="Arial Narrow"/>
          <w:bCs/>
          <w:color w:val="auto"/>
          <w:sz w:val="20"/>
          <w:szCs w:val="20"/>
        </w:rPr>
        <w:t>“ zamjenjuje se riječju „</w:t>
      </w:r>
      <w:r w:rsidRPr="00487539">
        <w:rPr>
          <w:rFonts w:ascii="Arial Narrow" w:hAnsi="Arial Narrow"/>
          <w:bCs/>
          <w:color w:val="2E74B5" w:themeColor="accent5" w:themeShade="BF"/>
          <w:sz w:val="20"/>
          <w:szCs w:val="20"/>
        </w:rPr>
        <w:t>razina</w:t>
      </w:r>
      <w:r w:rsidRPr="00487539">
        <w:rPr>
          <w:rFonts w:ascii="Arial Narrow" w:hAnsi="Arial Narrow"/>
          <w:bCs/>
          <w:color w:val="auto"/>
          <w:sz w:val="20"/>
          <w:szCs w:val="20"/>
        </w:rPr>
        <w:t>“.</w:t>
      </w:r>
    </w:p>
    <w:p w14:paraId="0CBC940D"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stavak (2) briše se, a stavci (</w:t>
      </w:r>
      <w:r w:rsidRPr="00487539">
        <w:rPr>
          <w:rFonts w:ascii="Arial Narrow" w:hAnsi="Arial Narrow"/>
          <w:bCs/>
          <w:color w:val="FF0000"/>
          <w:sz w:val="20"/>
          <w:szCs w:val="20"/>
        </w:rPr>
        <w:t>3</w:t>
      </w:r>
      <w:r w:rsidRPr="00487539">
        <w:rPr>
          <w:rFonts w:ascii="Arial Narrow" w:hAnsi="Arial Narrow"/>
          <w:bCs/>
          <w:color w:val="auto"/>
          <w:sz w:val="20"/>
          <w:szCs w:val="20"/>
        </w:rPr>
        <w:t>) i (</w:t>
      </w:r>
      <w:r w:rsidRPr="00487539">
        <w:rPr>
          <w:rFonts w:ascii="Arial Narrow" w:hAnsi="Arial Narrow"/>
          <w:bCs/>
          <w:color w:val="FF0000"/>
          <w:sz w:val="20"/>
          <w:szCs w:val="20"/>
        </w:rPr>
        <w:t>4</w:t>
      </w:r>
      <w:r w:rsidRPr="00487539">
        <w:rPr>
          <w:rFonts w:ascii="Arial Narrow" w:hAnsi="Arial Narrow"/>
          <w:bCs/>
          <w:color w:val="auto"/>
          <w:sz w:val="20"/>
          <w:szCs w:val="20"/>
        </w:rPr>
        <w:t>) postaju stavci (</w:t>
      </w:r>
      <w:r w:rsidRPr="00487539">
        <w:rPr>
          <w:rFonts w:ascii="Arial Narrow" w:hAnsi="Arial Narrow"/>
          <w:bCs/>
          <w:color w:val="2E74B5" w:themeColor="accent5" w:themeShade="BF"/>
          <w:sz w:val="20"/>
          <w:szCs w:val="20"/>
        </w:rPr>
        <w:t>2</w:t>
      </w:r>
      <w:r w:rsidRPr="00487539">
        <w:rPr>
          <w:rFonts w:ascii="Arial Narrow" w:hAnsi="Arial Narrow"/>
          <w:bCs/>
          <w:color w:val="auto"/>
          <w:sz w:val="20"/>
          <w:szCs w:val="20"/>
        </w:rPr>
        <w:t>) i (</w:t>
      </w:r>
      <w:r w:rsidRPr="00487539">
        <w:rPr>
          <w:rFonts w:ascii="Arial Narrow" w:hAnsi="Arial Narrow"/>
          <w:bCs/>
          <w:color w:val="2E74B5" w:themeColor="accent5" w:themeShade="BF"/>
          <w:sz w:val="20"/>
          <w:szCs w:val="20"/>
        </w:rPr>
        <w:t>3</w:t>
      </w:r>
      <w:r w:rsidRPr="00487539">
        <w:rPr>
          <w:rFonts w:ascii="Arial Narrow" w:hAnsi="Arial Narrow"/>
          <w:bCs/>
          <w:color w:val="auto"/>
          <w:sz w:val="20"/>
          <w:szCs w:val="20"/>
        </w:rPr>
        <w:t>).</w:t>
      </w:r>
    </w:p>
    <w:p w14:paraId="39887D02"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(3)</w:t>
      </w:r>
      <w:r w:rsidRPr="00487539">
        <w:rPr>
          <w:rFonts w:ascii="Arial Narrow" w:hAnsi="Arial Narrow"/>
          <w:bCs/>
          <w:color w:val="auto"/>
          <w:sz w:val="20"/>
          <w:szCs w:val="20"/>
        </w:rPr>
        <w:tab/>
        <w:t>U istom članku, novom stavku (2) riječ „</w:t>
      </w:r>
      <w:r w:rsidRPr="00487539">
        <w:rPr>
          <w:rFonts w:ascii="Arial Narrow" w:hAnsi="Arial Narrow"/>
          <w:bCs/>
          <w:color w:val="FF0000"/>
          <w:sz w:val="20"/>
          <w:szCs w:val="20"/>
        </w:rPr>
        <w:t>etaže</w:t>
      </w:r>
      <w:r w:rsidRPr="00487539">
        <w:rPr>
          <w:rFonts w:ascii="Arial Narrow" w:hAnsi="Arial Narrow"/>
          <w:bCs/>
          <w:color w:val="auto"/>
          <w:sz w:val="20"/>
          <w:szCs w:val="20"/>
        </w:rPr>
        <w:t>“ zamjenjuje se riječima „</w:t>
      </w:r>
      <w:r w:rsidRPr="00487539">
        <w:rPr>
          <w:rFonts w:ascii="Arial Narrow" w:hAnsi="Arial Narrow"/>
          <w:bCs/>
          <w:color w:val="2E74B5" w:themeColor="accent5" w:themeShade="BF"/>
          <w:sz w:val="20"/>
          <w:szCs w:val="20"/>
        </w:rPr>
        <w:t>nadzemne razine</w:t>
      </w:r>
      <w:r w:rsidRPr="00487539">
        <w:rPr>
          <w:rFonts w:ascii="Arial Narrow" w:hAnsi="Arial Narrow"/>
          <w:bCs/>
          <w:color w:val="auto"/>
          <w:sz w:val="20"/>
          <w:szCs w:val="20"/>
        </w:rPr>
        <w:t>“</w:t>
      </w:r>
    </w:p>
    <w:p w14:paraId="443077BD" w14:textId="7CF50194" w:rsidR="00487539" w:rsidRPr="00487539" w:rsidRDefault="00487539" w:rsidP="00487539">
      <w:pPr>
        <w:pStyle w:val="Default"/>
        <w:tabs>
          <w:tab w:val="left" w:pos="567"/>
        </w:tabs>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8</w:t>
      </w:r>
    </w:p>
    <w:p w14:paraId="126E687A"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11, stavak (1) iza riječi „glavne“ umeće se zagrada „</w:t>
      </w:r>
      <w:r w:rsidRPr="00487539">
        <w:rPr>
          <w:rFonts w:ascii="Arial Narrow" w:hAnsi="Arial Narrow"/>
          <w:bCs/>
          <w:color w:val="2E74B5" w:themeColor="accent5" w:themeShade="BF"/>
          <w:sz w:val="20"/>
          <w:szCs w:val="20"/>
        </w:rPr>
        <w:t>(osnovne)</w:t>
      </w:r>
      <w:r w:rsidRPr="00487539">
        <w:rPr>
          <w:rFonts w:ascii="Arial Narrow" w:hAnsi="Arial Narrow"/>
          <w:bCs/>
          <w:color w:val="auto"/>
          <w:sz w:val="20"/>
          <w:szCs w:val="20"/>
        </w:rPr>
        <w:t>“, a iza riječi „pomoćnih“ dodaju se riječi „</w:t>
      </w:r>
      <w:r w:rsidRPr="00487539">
        <w:rPr>
          <w:rFonts w:ascii="Arial Narrow" w:hAnsi="Arial Narrow"/>
          <w:bCs/>
          <w:color w:val="2E74B5" w:themeColor="accent5" w:themeShade="BF"/>
          <w:sz w:val="20"/>
          <w:szCs w:val="20"/>
        </w:rPr>
        <w:t>i pratećih</w:t>
      </w:r>
      <w:r w:rsidRPr="00487539">
        <w:rPr>
          <w:rFonts w:ascii="Arial Narrow" w:hAnsi="Arial Narrow"/>
          <w:bCs/>
          <w:color w:val="auto"/>
          <w:sz w:val="20"/>
          <w:szCs w:val="20"/>
        </w:rPr>
        <w:t>“.</w:t>
      </w:r>
    </w:p>
    <w:p w14:paraId="30AAC97E"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stavak (3) riječ „</w:t>
      </w:r>
      <w:r w:rsidRPr="00487539">
        <w:rPr>
          <w:rFonts w:ascii="Arial Narrow" w:hAnsi="Arial Narrow"/>
          <w:bCs/>
          <w:color w:val="FF0000"/>
          <w:sz w:val="20"/>
          <w:szCs w:val="20"/>
        </w:rPr>
        <w:t>dopušta</w:t>
      </w:r>
      <w:r w:rsidRPr="00487539">
        <w:rPr>
          <w:rFonts w:ascii="Arial Narrow" w:hAnsi="Arial Narrow"/>
          <w:bCs/>
          <w:color w:val="auto"/>
          <w:sz w:val="20"/>
          <w:szCs w:val="20"/>
        </w:rPr>
        <w:t>“ zamjenjuje se riječju „</w:t>
      </w:r>
      <w:r w:rsidRPr="00487539">
        <w:rPr>
          <w:rFonts w:ascii="Arial Narrow" w:hAnsi="Arial Narrow"/>
          <w:bCs/>
          <w:color w:val="2E74B5" w:themeColor="accent5" w:themeShade="BF"/>
          <w:sz w:val="20"/>
          <w:szCs w:val="20"/>
        </w:rPr>
        <w:t>dozvoljava</w:t>
      </w:r>
      <w:r w:rsidRPr="00487539">
        <w:rPr>
          <w:rFonts w:ascii="Arial Narrow" w:hAnsi="Arial Narrow"/>
          <w:bCs/>
          <w:color w:val="auto"/>
          <w:sz w:val="20"/>
          <w:szCs w:val="20"/>
        </w:rPr>
        <w:t>“.</w:t>
      </w:r>
    </w:p>
    <w:p w14:paraId="2300B0F4"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(3)</w:t>
      </w:r>
      <w:r w:rsidRPr="00487539">
        <w:rPr>
          <w:rFonts w:ascii="Arial Narrow" w:hAnsi="Arial Narrow"/>
          <w:bCs/>
          <w:color w:val="auto"/>
          <w:sz w:val="20"/>
          <w:szCs w:val="20"/>
        </w:rPr>
        <w:tab/>
        <w:t>U istom članku, stavak (9) iza riječi „krovne plohe“ dopisuju se riječi „</w:t>
      </w:r>
      <w:r w:rsidRPr="00487539">
        <w:rPr>
          <w:rFonts w:ascii="Arial Narrow" w:hAnsi="Arial Narrow"/>
          <w:bCs/>
          <w:color w:val="2E74B5" w:themeColor="accent5" w:themeShade="BF"/>
          <w:sz w:val="20"/>
          <w:szCs w:val="20"/>
        </w:rPr>
        <w:t>, kao i na ravne krovove</w:t>
      </w:r>
      <w:r w:rsidRPr="00487539">
        <w:rPr>
          <w:rFonts w:ascii="Arial Narrow" w:hAnsi="Arial Narrow"/>
          <w:bCs/>
          <w:color w:val="auto"/>
          <w:sz w:val="20"/>
          <w:szCs w:val="20"/>
        </w:rPr>
        <w:t>“.</w:t>
      </w:r>
    </w:p>
    <w:p w14:paraId="6C9153BC"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(4)</w:t>
      </w:r>
      <w:r w:rsidRPr="00487539">
        <w:rPr>
          <w:rFonts w:ascii="Arial Narrow" w:hAnsi="Arial Narrow"/>
          <w:bCs/>
          <w:color w:val="auto"/>
          <w:sz w:val="20"/>
          <w:szCs w:val="20"/>
        </w:rPr>
        <w:tab/>
        <w:t>U istom članku, stavak (10) iza riječi „na terenu“ dopisuju se riječi „</w:t>
      </w:r>
      <w:r w:rsidRPr="00487539">
        <w:rPr>
          <w:rFonts w:ascii="Arial Narrow" w:hAnsi="Arial Narrow"/>
          <w:bCs/>
          <w:color w:val="2E74B5" w:themeColor="accent5" w:themeShade="BF"/>
          <w:sz w:val="20"/>
          <w:szCs w:val="20"/>
        </w:rPr>
        <w:t>građevne čestice</w:t>
      </w:r>
      <w:r w:rsidRPr="00487539">
        <w:rPr>
          <w:rFonts w:ascii="Arial Narrow" w:hAnsi="Arial Narrow"/>
          <w:bCs/>
          <w:color w:val="auto"/>
          <w:sz w:val="20"/>
          <w:szCs w:val="20"/>
        </w:rPr>
        <w:t>“. U alineji a) ovog stavka, riječ „</w:t>
      </w:r>
      <w:r w:rsidRPr="00487539">
        <w:rPr>
          <w:rFonts w:ascii="Arial Narrow" w:hAnsi="Arial Narrow"/>
          <w:bCs/>
          <w:color w:val="FF0000"/>
          <w:sz w:val="20"/>
          <w:szCs w:val="20"/>
        </w:rPr>
        <w:t>dopušta</w:t>
      </w:r>
      <w:r w:rsidRPr="00487539">
        <w:rPr>
          <w:rFonts w:ascii="Arial Narrow" w:hAnsi="Arial Narrow"/>
          <w:bCs/>
          <w:color w:val="auto"/>
          <w:sz w:val="20"/>
          <w:szCs w:val="20"/>
        </w:rPr>
        <w:t>“ zamjenjuje se riječju „</w:t>
      </w:r>
      <w:r w:rsidRPr="00487539">
        <w:rPr>
          <w:rFonts w:ascii="Arial Narrow" w:hAnsi="Arial Narrow"/>
          <w:bCs/>
          <w:color w:val="2E74B5" w:themeColor="accent5" w:themeShade="BF"/>
          <w:sz w:val="20"/>
          <w:szCs w:val="20"/>
        </w:rPr>
        <w:t>dozvoljava</w:t>
      </w:r>
      <w:r w:rsidRPr="00487539">
        <w:rPr>
          <w:rFonts w:ascii="Arial Narrow" w:hAnsi="Arial Narrow"/>
          <w:bCs/>
          <w:color w:val="auto"/>
          <w:sz w:val="20"/>
          <w:szCs w:val="20"/>
        </w:rPr>
        <w:t>“.</w:t>
      </w:r>
    </w:p>
    <w:p w14:paraId="1E463DFF"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(5)</w:t>
      </w:r>
      <w:r w:rsidRPr="00487539">
        <w:rPr>
          <w:rFonts w:ascii="Arial Narrow" w:hAnsi="Arial Narrow"/>
          <w:bCs/>
          <w:color w:val="auto"/>
          <w:sz w:val="20"/>
          <w:szCs w:val="20"/>
        </w:rPr>
        <w:tab/>
        <w:t>U istom članku, stavak (10) riječ „se“ u prvoj rečenici briše se, a na kraju stavka dodaje se rečenica koja glasi: „</w:t>
      </w:r>
      <w:r w:rsidRPr="00487539">
        <w:rPr>
          <w:rFonts w:ascii="Arial Narrow" w:hAnsi="Arial Narrow"/>
          <w:bCs/>
          <w:color w:val="2E74B5" w:themeColor="accent5" w:themeShade="BF"/>
          <w:sz w:val="20"/>
          <w:szCs w:val="20"/>
        </w:rPr>
        <w:t>Ako je potrebno veće nasipavanje onda se ono treba planirati izvedbom terasa.</w:t>
      </w:r>
      <w:r w:rsidRPr="00487539">
        <w:rPr>
          <w:rFonts w:ascii="Arial Narrow" w:hAnsi="Arial Narrow"/>
          <w:bCs/>
          <w:color w:val="auto"/>
          <w:sz w:val="20"/>
          <w:szCs w:val="20"/>
        </w:rPr>
        <w:t>“.</w:t>
      </w:r>
    </w:p>
    <w:p w14:paraId="07C52C4B"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(6)</w:t>
      </w:r>
      <w:r w:rsidRPr="00487539">
        <w:rPr>
          <w:rFonts w:ascii="Arial Narrow" w:hAnsi="Arial Narrow"/>
          <w:bCs/>
          <w:color w:val="auto"/>
          <w:sz w:val="20"/>
          <w:szCs w:val="20"/>
        </w:rPr>
        <w:tab/>
        <w:t>U istom članku, stavak (13) na kraju rečenice stavlja se zarez i dodatni tekst koji glasi: „</w:t>
      </w:r>
      <w:r w:rsidRPr="00487539">
        <w:rPr>
          <w:rFonts w:ascii="Arial Narrow" w:hAnsi="Arial Narrow"/>
          <w:bCs/>
          <w:color w:val="2E74B5" w:themeColor="accent5" w:themeShade="BF"/>
          <w:sz w:val="20"/>
          <w:szCs w:val="20"/>
        </w:rPr>
        <w:t>osim ako parkiranje vozila nije planirano na prirodnom zemljištu koje je 100% vodopropusno.</w:t>
      </w:r>
      <w:r w:rsidRPr="00487539">
        <w:rPr>
          <w:rFonts w:ascii="Arial Narrow" w:hAnsi="Arial Narrow"/>
          <w:bCs/>
          <w:color w:val="auto"/>
          <w:sz w:val="20"/>
          <w:szCs w:val="20"/>
        </w:rPr>
        <w:t>“.</w:t>
      </w:r>
    </w:p>
    <w:p w14:paraId="3240E5C1"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(7)</w:t>
      </w:r>
      <w:r w:rsidRPr="00487539">
        <w:rPr>
          <w:rFonts w:ascii="Arial Narrow" w:hAnsi="Arial Narrow"/>
          <w:bCs/>
          <w:color w:val="auto"/>
          <w:sz w:val="20"/>
          <w:szCs w:val="20"/>
        </w:rPr>
        <w:tab/>
        <w:t>U istom članku, stavak (14) druga rečenica zamjenjuje se novom koja glasi: „</w:t>
      </w:r>
      <w:r w:rsidRPr="00487539">
        <w:rPr>
          <w:rFonts w:ascii="Arial Narrow" w:hAnsi="Arial Narrow"/>
          <w:bCs/>
          <w:color w:val="2E74B5" w:themeColor="accent5" w:themeShade="BF"/>
          <w:sz w:val="20"/>
          <w:szCs w:val="20"/>
        </w:rPr>
        <w:t>Iznimno, dozvoljavaju se povećanja tlocrtnog obrisa ako se planira provesti energetsku obnovu zgrada pa će zbog korištenih vanjskih slojeva na pročelju doći do povećanja temeljnog obrisa zgrade.</w:t>
      </w:r>
      <w:r w:rsidRPr="00487539">
        <w:rPr>
          <w:rFonts w:ascii="Arial Narrow" w:hAnsi="Arial Narrow"/>
          <w:bCs/>
          <w:color w:val="auto"/>
          <w:sz w:val="20"/>
          <w:szCs w:val="20"/>
        </w:rPr>
        <w:t>“.</w:t>
      </w:r>
    </w:p>
    <w:p w14:paraId="7EBAF2E7" w14:textId="6E51ABF0"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9</w:t>
      </w:r>
    </w:p>
    <w:p w14:paraId="6505874B"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12, stavak (1) iza riječi „Za svaku glavnu“ dodaje se zagrada „</w:t>
      </w:r>
      <w:r w:rsidRPr="00487539">
        <w:rPr>
          <w:rFonts w:ascii="Arial Narrow" w:hAnsi="Arial Narrow"/>
          <w:bCs/>
          <w:color w:val="2E74B5" w:themeColor="accent5" w:themeShade="BF"/>
          <w:sz w:val="20"/>
          <w:szCs w:val="20"/>
        </w:rPr>
        <w:t>(osnovnu)</w:t>
      </w:r>
      <w:r w:rsidRPr="00487539">
        <w:rPr>
          <w:rFonts w:ascii="Arial Narrow" w:hAnsi="Arial Narrow"/>
          <w:bCs/>
          <w:color w:val="auto"/>
          <w:sz w:val="20"/>
          <w:szCs w:val="20"/>
        </w:rPr>
        <w:t>“</w:t>
      </w:r>
    </w:p>
    <w:p w14:paraId="2024405C"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na kraju stavka (2) dodaje se zagrada koja glasi: „</w:t>
      </w:r>
      <w:r w:rsidRPr="00487539">
        <w:rPr>
          <w:rFonts w:ascii="Arial Narrow" w:hAnsi="Arial Narrow"/>
          <w:bCs/>
          <w:color w:val="2E74B5" w:themeColor="accent5" w:themeShade="BF"/>
          <w:sz w:val="20"/>
          <w:szCs w:val="20"/>
        </w:rPr>
        <w:t>(istočni dio ulice IS1)</w:t>
      </w:r>
      <w:r w:rsidRPr="00487539">
        <w:rPr>
          <w:rFonts w:ascii="Arial Narrow" w:hAnsi="Arial Narrow"/>
          <w:bCs/>
          <w:color w:val="auto"/>
          <w:sz w:val="20"/>
          <w:szCs w:val="20"/>
        </w:rPr>
        <w:t>.“.</w:t>
      </w:r>
    </w:p>
    <w:p w14:paraId="29C5C36B"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(3)</w:t>
      </w:r>
      <w:r w:rsidRPr="00487539">
        <w:rPr>
          <w:rFonts w:ascii="Arial Narrow" w:hAnsi="Arial Narrow"/>
          <w:bCs/>
          <w:color w:val="auto"/>
          <w:sz w:val="20"/>
          <w:szCs w:val="20"/>
        </w:rPr>
        <w:tab/>
        <w:t>U istom članku dodaje se stavak (3) čiji tekst glasi:</w:t>
      </w:r>
    </w:p>
    <w:p w14:paraId="22E6A9FA"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w:t>
      </w:r>
      <w:r w:rsidRPr="00487539">
        <w:rPr>
          <w:rFonts w:ascii="Arial Narrow" w:hAnsi="Arial Narrow"/>
          <w:bCs/>
          <w:color w:val="2E74B5" w:themeColor="accent5" w:themeShade="BF"/>
          <w:sz w:val="20"/>
          <w:szCs w:val="20"/>
        </w:rPr>
        <w:t>(3)</w:t>
      </w:r>
      <w:r w:rsidRPr="00487539">
        <w:rPr>
          <w:rFonts w:ascii="Arial Narrow" w:hAnsi="Arial Narrow"/>
          <w:bCs/>
          <w:color w:val="2E74B5" w:themeColor="accent5" w:themeShade="BF"/>
          <w:sz w:val="20"/>
          <w:szCs w:val="20"/>
        </w:rPr>
        <w:tab/>
        <w:t>U slučaju osiguranja kolnog i pješačkog pristupa do građevnih čestica s oznakom M-31, M-32, M-57 i M-58, dok se ne izvede planirana stambena prometnica u cijelosti, pristup do ove četiri čestice ostvaruje se pravom služnosti puta preko sjevernog dijela javne krajobrazno uređene površine (Z-01) i sjevernog dijela građevne čestice M-57 u širini od 3,50 m.</w:t>
      </w:r>
      <w:r w:rsidRPr="00487539">
        <w:rPr>
          <w:rFonts w:ascii="Arial Narrow" w:hAnsi="Arial Narrow"/>
          <w:bCs/>
          <w:color w:val="auto"/>
          <w:sz w:val="20"/>
          <w:szCs w:val="20"/>
        </w:rPr>
        <w:t>“</w:t>
      </w:r>
    </w:p>
    <w:p w14:paraId="0613A7F4" w14:textId="540CDB9A"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10</w:t>
      </w:r>
    </w:p>
    <w:p w14:paraId="3B1EDDBC"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13, stavak (1) u trećoj zagradi broj „</w:t>
      </w:r>
      <w:r w:rsidRPr="00487539">
        <w:rPr>
          <w:rFonts w:ascii="Arial Narrow" w:hAnsi="Arial Narrow"/>
          <w:bCs/>
          <w:color w:val="FF0000"/>
          <w:sz w:val="20"/>
          <w:szCs w:val="20"/>
        </w:rPr>
        <w:t>04</w:t>
      </w:r>
      <w:r w:rsidRPr="00487539">
        <w:rPr>
          <w:rFonts w:ascii="Arial Narrow" w:hAnsi="Arial Narrow"/>
          <w:bCs/>
          <w:color w:val="auto"/>
          <w:sz w:val="20"/>
          <w:szCs w:val="20"/>
        </w:rPr>
        <w:t>“ zamjenjuje se brojem „</w:t>
      </w:r>
      <w:r w:rsidRPr="00487539">
        <w:rPr>
          <w:rFonts w:ascii="Arial Narrow" w:hAnsi="Arial Narrow"/>
          <w:bCs/>
          <w:color w:val="2E74B5" w:themeColor="accent5" w:themeShade="BF"/>
          <w:sz w:val="20"/>
          <w:szCs w:val="20"/>
        </w:rPr>
        <w:t>05</w:t>
      </w:r>
      <w:r w:rsidRPr="00487539">
        <w:rPr>
          <w:rFonts w:ascii="Arial Narrow" w:hAnsi="Arial Narrow"/>
          <w:bCs/>
          <w:color w:val="auto"/>
          <w:sz w:val="20"/>
          <w:szCs w:val="20"/>
        </w:rPr>
        <w:t>“, a tekst u četvrtoj zagradi mijenja se i novi glasi: „</w:t>
      </w:r>
      <w:r w:rsidRPr="00487539">
        <w:rPr>
          <w:rFonts w:ascii="Arial Narrow" w:hAnsi="Arial Narrow"/>
          <w:bCs/>
          <w:color w:val="2E74B5" w:themeColor="accent5" w:themeShade="BF"/>
          <w:sz w:val="20"/>
          <w:szCs w:val="20"/>
        </w:rPr>
        <w:t>Mp*-01 do Mp*-03 te od Mp*-05 do Mp*-13</w:t>
      </w:r>
      <w:r w:rsidRPr="00487539">
        <w:rPr>
          <w:rFonts w:ascii="Arial Narrow" w:hAnsi="Arial Narrow"/>
          <w:bCs/>
          <w:color w:val="auto"/>
          <w:sz w:val="20"/>
          <w:szCs w:val="20"/>
        </w:rPr>
        <w:t>“.</w:t>
      </w:r>
    </w:p>
    <w:p w14:paraId="2A2D4193"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stavak (2) iza riječi „gradnju glavne“ stavlja se zagrada „</w:t>
      </w:r>
      <w:r w:rsidRPr="00487539">
        <w:rPr>
          <w:rFonts w:ascii="Arial Narrow" w:hAnsi="Arial Narrow"/>
          <w:bCs/>
          <w:color w:val="2E74B5" w:themeColor="accent5" w:themeShade="BF"/>
          <w:sz w:val="20"/>
          <w:szCs w:val="20"/>
        </w:rPr>
        <w:t>(osnovne)</w:t>
      </w:r>
      <w:r w:rsidRPr="00487539">
        <w:rPr>
          <w:rFonts w:ascii="Arial Narrow" w:hAnsi="Arial Narrow"/>
          <w:bCs/>
          <w:color w:val="auto"/>
          <w:sz w:val="20"/>
          <w:szCs w:val="20"/>
        </w:rPr>
        <w:t>“, a iza riječi „zgrade“ dopisuju se riječi „</w:t>
      </w:r>
      <w:r w:rsidRPr="00487539">
        <w:rPr>
          <w:rFonts w:ascii="Arial Narrow" w:hAnsi="Arial Narrow"/>
          <w:bCs/>
          <w:color w:val="2E74B5" w:themeColor="accent5" w:themeShade="BF"/>
          <w:sz w:val="20"/>
          <w:szCs w:val="20"/>
        </w:rPr>
        <w:t>te pratećih</w:t>
      </w:r>
      <w:r w:rsidRPr="00487539">
        <w:rPr>
          <w:rFonts w:ascii="Arial Narrow" w:hAnsi="Arial Narrow"/>
          <w:bCs/>
          <w:color w:val="auto"/>
          <w:sz w:val="20"/>
          <w:szCs w:val="20"/>
        </w:rPr>
        <w:t>“.</w:t>
      </w:r>
    </w:p>
    <w:p w14:paraId="25397ACC"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(3)</w:t>
      </w:r>
      <w:r w:rsidRPr="00487539">
        <w:rPr>
          <w:rFonts w:ascii="Arial Narrow" w:hAnsi="Arial Narrow"/>
          <w:bCs/>
          <w:color w:val="auto"/>
          <w:sz w:val="20"/>
          <w:szCs w:val="20"/>
        </w:rPr>
        <w:tab/>
        <w:t>U istom članku, stavak (5) na kraju prve rečenice stavlja se tekst koji glasi: „</w:t>
      </w:r>
      <w:r w:rsidRPr="00487539">
        <w:rPr>
          <w:rFonts w:ascii="Arial Narrow" w:hAnsi="Arial Narrow"/>
          <w:bCs/>
          <w:color w:val="2E74B5" w:themeColor="accent5" w:themeShade="BF"/>
          <w:sz w:val="20"/>
          <w:szCs w:val="20"/>
        </w:rPr>
        <w:t>ili možebitne buduće energetske obnove</w:t>
      </w:r>
      <w:r w:rsidRPr="00487539">
        <w:rPr>
          <w:rFonts w:ascii="Arial Narrow" w:hAnsi="Arial Narrow"/>
          <w:bCs/>
          <w:color w:val="auto"/>
          <w:sz w:val="20"/>
          <w:szCs w:val="20"/>
        </w:rPr>
        <w:t>“.</w:t>
      </w:r>
    </w:p>
    <w:p w14:paraId="2928A825"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(4)</w:t>
      </w:r>
      <w:r w:rsidRPr="00487539">
        <w:rPr>
          <w:rFonts w:ascii="Arial Narrow" w:hAnsi="Arial Narrow"/>
          <w:bCs/>
          <w:color w:val="auto"/>
          <w:sz w:val="20"/>
          <w:szCs w:val="20"/>
        </w:rPr>
        <w:tab/>
        <w:t>U istom članku, stavak (6) na kraju druge rečenice stavlja se tekst koji glasi: „</w:t>
      </w:r>
      <w:r w:rsidRPr="00487539">
        <w:rPr>
          <w:rFonts w:ascii="Arial Narrow" w:hAnsi="Arial Narrow"/>
          <w:bCs/>
          <w:color w:val="2E74B5" w:themeColor="accent5" w:themeShade="BF"/>
          <w:sz w:val="20"/>
          <w:szCs w:val="20"/>
        </w:rPr>
        <w:t>ili možebitne buduće energetske obnove</w:t>
      </w:r>
      <w:r w:rsidRPr="00487539">
        <w:rPr>
          <w:rFonts w:ascii="Arial Narrow" w:hAnsi="Arial Narrow"/>
          <w:bCs/>
          <w:color w:val="auto"/>
          <w:sz w:val="20"/>
          <w:szCs w:val="20"/>
        </w:rPr>
        <w:t>“.</w:t>
      </w:r>
    </w:p>
    <w:p w14:paraId="17C76A96"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(5)</w:t>
      </w:r>
      <w:r w:rsidRPr="00487539">
        <w:rPr>
          <w:rFonts w:ascii="Arial Narrow" w:hAnsi="Arial Narrow"/>
          <w:bCs/>
          <w:color w:val="auto"/>
          <w:sz w:val="20"/>
          <w:szCs w:val="20"/>
        </w:rPr>
        <w:tab/>
        <w:t>U istom članku, tekst stavka (9) mijenja se i novi glasi: „</w:t>
      </w:r>
      <w:r w:rsidRPr="00487539">
        <w:rPr>
          <w:rFonts w:ascii="Arial Narrow" w:hAnsi="Arial Narrow"/>
          <w:bCs/>
          <w:color w:val="2E74B5" w:themeColor="accent5" w:themeShade="BF"/>
          <w:sz w:val="20"/>
          <w:szCs w:val="20"/>
        </w:rPr>
        <w:t>Na svakoj građevnoj čestici označena je površina na kojoj je moguće planirati i izgraditi prateće i pomoćne građevine na čestici. Iznimno, između građevne i regulacijske crte moguće je planirati i izgraditi garažu za osobna vozila i/ili zatvoreni, natkriveni ili otvoreni bazen (izvan utvrđene površine za građenje), uz ispunjavanje uvjeta iz članka 54, stavak (2) i (3), Odredbi za provođenje Prostornog plana Općine Postira). Zid garaže ili bazena mora biti obložen kamenom. Pomoćne i prateće građevine mogu imati samo jednu nadzemnu razinu, visine vijenca do V</w:t>
      </w:r>
      <w:r w:rsidRPr="00487539">
        <w:rPr>
          <w:rFonts w:ascii="Arial Narrow" w:hAnsi="Arial Narrow"/>
          <w:bCs/>
          <w:color w:val="2E74B5" w:themeColor="accent5" w:themeShade="BF"/>
          <w:sz w:val="20"/>
          <w:szCs w:val="20"/>
          <w:vertAlign w:val="subscript"/>
        </w:rPr>
        <w:t>m</w:t>
      </w:r>
      <w:r w:rsidRPr="00487539">
        <w:rPr>
          <w:rFonts w:ascii="Arial Narrow" w:hAnsi="Arial Narrow"/>
          <w:bCs/>
          <w:color w:val="2E74B5" w:themeColor="accent5" w:themeShade="BF"/>
          <w:sz w:val="20"/>
          <w:szCs w:val="20"/>
        </w:rPr>
        <w:t>=3,00 m. Broj podzemnih razina nije ograničen. Zgrada može biti natkrivenom ili toplom vezom povezana s glavnom zgradom. Ravni krov svih zgrada može se izvesti i kao prohodna i/ili ozelenjena terasa. Unutar površine za gradnju pomoćnih i pomoćnih građevina moguća je gradnja vanjskog bazena, pergole, nadstrešnice, vanjskih terasa i stubišta. Zasebne, u pravilu ukopane, pomoćne i infrastrukturne građevine (cisterna, spremnik ukapljenog plina, spremnik sabirne jame i sl.) te prostor za privremeno (kratkotrajno) odlaganje otpada grade se i uređuju uz sam rub građevne čestice, što bliže kolnim površinama.</w:t>
      </w:r>
      <w:r w:rsidRPr="00487539">
        <w:rPr>
          <w:rFonts w:ascii="Arial Narrow" w:hAnsi="Arial Narrow"/>
          <w:bCs/>
          <w:color w:val="auto"/>
          <w:sz w:val="20"/>
          <w:szCs w:val="20"/>
        </w:rPr>
        <w:t>“</w:t>
      </w:r>
    </w:p>
    <w:p w14:paraId="5850B97C"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(6)</w:t>
      </w:r>
      <w:r w:rsidRPr="00487539">
        <w:rPr>
          <w:rFonts w:ascii="Arial Narrow" w:hAnsi="Arial Narrow"/>
          <w:bCs/>
          <w:color w:val="auto"/>
          <w:sz w:val="20"/>
          <w:szCs w:val="20"/>
        </w:rPr>
        <w:tab/>
        <w:t>U istom članku, tekst stavka (11) mijenja se i novi glasi: „</w:t>
      </w:r>
      <w:r w:rsidRPr="00487539">
        <w:rPr>
          <w:rFonts w:ascii="Arial Narrow" w:hAnsi="Arial Narrow"/>
          <w:bCs/>
          <w:color w:val="2E74B5" w:themeColor="accent5" w:themeShade="BF"/>
          <w:sz w:val="20"/>
          <w:szCs w:val="20"/>
        </w:rPr>
        <w:t>Ograda se može se izvesti kao puna i /ili poluprovidna (žičana s nasadom bilja s unutarnje strane čestice). Na kosom terenu, bočna ograda može se izvesti stepenasto s time da najveća visina najvidljivijeg dijela ograde ne smije biti veća od 2,00 m. Nužni potporni zid na granici rubne čestice, odnosno njegova visina, smatra se ogradom te se njegova visina smatra visinom ogradnog zida. Ograda na regulacijskoj crti kao i ograda na zadnjoj međi planira se i postavlja kao i ona na bočnim međama i može biti izvedena stepenasto. Sve vrste ograda planiraju se i izvode isključivo s unutrašnje strane međe, odnosno na samoj građevnoj čestici.</w:t>
      </w:r>
      <w:r w:rsidRPr="00487539">
        <w:rPr>
          <w:rFonts w:ascii="Arial Narrow" w:hAnsi="Arial Narrow"/>
          <w:bCs/>
          <w:color w:val="auto"/>
          <w:sz w:val="20"/>
          <w:szCs w:val="20"/>
        </w:rPr>
        <w:t>“.</w:t>
      </w:r>
    </w:p>
    <w:p w14:paraId="2BE89E58" w14:textId="0FDE2F1C"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11</w:t>
      </w:r>
    </w:p>
    <w:p w14:paraId="160F56B6"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13a, stavak (1) riječi „</w:t>
      </w:r>
      <w:r w:rsidRPr="00487539">
        <w:rPr>
          <w:rFonts w:ascii="Arial Narrow" w:hAnsi="Arial Narrow"/>
          <w:bCs/>
          <w:color w:val="FF0000"/>
          <w:sz w:val="20"/>
          <w:szCs w:val="20"/>
        </w:rPr>
        <w:t>na kojoj</w:t>
      </w:r>
      <w:r w:rsidRPr="00487539">
        <w:rPr>
          <w:rFonts w:ascii="Arial Narrow" w:hAnsi="Arial Narrow"/>
          <w:bCs/>
          <w:color w:val="auto"/>
          <w:sz w:val="20"/>
          <w:szCs w:val="20"/>
        </w:rPr>
        <w:t>“ zamjenjuju se riječima „</w:t>
      </w:r>
      <w:r w:rsidRPr="00487539">
        <w:rPr>
          <w:rFonts w:ascii="Arial Narrow" w:hAnsi="Arial Narrow"/>
          <w:bCs/>
          <w:color w:val="2E74B5" w:themeColor="accent5" w:themeShade="BF"/>
          <w:sz w:val="20"/>
          <w:szCs w:val="20"/>
        </w:rPr>
        <w:t>i na njoj</w:t>
      </w:r>
      <w:r w:rsidRPr="00487539">
        <w:rPr>
          <w:rFonts w:ascii="Arial Narrow" w:hAnsi="Arial Narrow"/>
          <w:bCs/>
          <w:color w:val="auto"/>
          <w:sz w:val="20"/>
          <w:szCs w:val="20"/>
        </w:rPr>
        <w:t>“, između riječi „glavnu zgradu“ umeće se zagrada „</w:t>
      </w:r>
      <w:r w:rsidRPr="00487539">
        <w:rPr>
          <w:rFonts w:ascii="Arial Narrow" w:hAnsi="Arial Narrow"/>
          <w:bCs/>
          <w:color w:val="2E74B5" w:themeColor="accent5" w:themeShade="BF"/>
          <w:sz w:val="20"/>
          <w:szCs w:val="20"/>
        </w:rPr>
        <w:t>(osnovnu)</w:t>
      </w:r>
      <w:r w:rsidRPr="00487539">
        <w:rPr>
          <w:rFonts w:ascii="Arial Narrow" w:hAnsi="Arial Narrow"/>
          <w:bCs/>
          <w:color w:val="auto"/>
          <w:sz w:val="20"/>
          <w:szCs w:val="20"/>
        </w:rPr>
        <w:t>“, a riječ „</w:t>
      </w:r>
      <w:r w:rsidRPr="00487539">
        <w:rPr>
          <w:rFonts w:ascii="Arial Narrow" w:hAnsi="Arial Narrow"/>
          <w:bCs/>
          <w:color w:val="FF0000"/>
          <w:sz w:val="20"/>
          <w:szCs w:val="20"/>
        </w:rPr>
        <w:t>etažom</w:t>
      </w:r>
      <w:r w:rsidRPr="00487539">
        <w:rPr>
          <w:rFonts w:ascii="Arial Narrow" w:hAnsi="Arial Narrow"/>
          <w:bCs/>
          <w:color w:val="auto"/>
          <w:sz w:val="20"/>
          <w:szCs w:val="20"/>
        </w:rPr>
        <w:t>“ zamjenjuje se riječju „</w:t>
      </w:r>
      <w:r w:rsidRPr="00487539">
        <w:rPr>
          <w:rFonts w:ascii="Arial Narrow" w:hAnsi="Arial Narrow"/>
          <w:bCs/>
          <w:color w:val="2E74B5" w:themeColor="accent5" w:themeShade="BF"/>
          <w:sz w:val="20"/>
          <w:szCs w:val="20"/>
        </w:rPr>
        <w:t>razinom</w:t>
      </w:r>
      <w:r w:rsidRPr="00487539">
        <w:rPr>
          <w:rFonts w:ascii="Arial Narrow" w:hAnsi="Arial Narrow"/>
          <w:bCs/>
          <w:color w:val="auto"/>
          <w:sz w:val="20"/>
          <w:szCs w:val="20"/>
        </w:rPr>
        <w:t>“ u bilo kojem padežu.</w:t>
      </w:r>
    </w:p>
    <w:p w14:paraId="657E3531"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na kraju stavka (2) dodaje se rečenica koja glasi: „</w:t>
      </w:r>
      <w:r w:rsidRPr="00487539">
        <w:rPr>
          <w:rFonts w:ascii="Arial Narrow" w:hAnsi="Arial Narrow"/>
          <w:bCs/>
          <w:color w:val="2E74B5" w:themeColor="accent5" w:themeShade="BF"/>
          <w:sz w:val="20"/>
          <w:szCs w:val="20"/>
        </w:rPr>
        <w:t>Površina građevne čestice iznosi oko 567 m</w:t>
      </w:r>
      <w:r w:rsidRPr="00487539">
        <w:rPr>
          <w:rFonts w:ascii="Arial Narrow" w:hAnsi="Arial Narrow"/>
          <w:bCs/>
          <w:color w:val="2E74B5" w:themeColor="accent5" w:themeShade="BF"/>
          <w:sz w:val="20"/>
          <w:szCs w:val="20"/>
          <w:vertAlign w:val="superscript"/>
        </w:rPr>
        <w:t>2</w:t>
      </w:r>
      <w:r w:rsidRPr="00487539">
        <w:rPr>
          <w:rFonts w:ascii="Arial Narrow" w:hAnsi="Arial Narrow"/>
          <w:bCs/>
          <w:color w:val="2E74B5" w:themeColor="accent5" w:themeShade="BF"/>
          <w:sz w:val="20"/>
          <w:szCs w:val="20"/>
        </w:rPr>
        <w:t xml:space="preserve">, uz </w:t>
      </w:r>
      <w:r w:rsidRPr="00487539">
        <w:rPr>
          <w:rFonts w:ascii="Arial Narrow" w:hAnsi="Arial Narrow"/>
          <w:bCs/>
          <w:color w:val="2E74B5" w:themeColor="accent5" w:themeShade="BF"/>
          <w:sz w:val="20"/>
          <w:szCs w:val="20"/>
        </w:rPr>
        <w:lastRenderedPageBreak/>
        <w:t>najveći dozvoljeni koeficijent izgrađenosti od 65% te koeficijent iskoristivosti od 1,20.</w:t>
      </w:r>
      <w:r w:rsidRPr="00487539">
        <w:rPr>
          <w:rFonts w:ascii="Arial Narrow" w:hAnsi="Arial Narrow"/>
          <w:bCs/>
          <w:color w:val="auto"/>
          <w:sz w:val="20"/>
          <w:szCs w:val="20"/>
        </w:rPr>
        <w:t>“.</w:t>
      </w:r>
    </w:p>
    <w:p w14:paraId="35CB9808"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(3)</w:t>
      </w:r>
      <w:r w:rsidRPr="00487539">
        <w:rPr>
          <w:rFonts w:ascii="Arial Narrow" w:hAnsi="Arial Narrow"/>
          <w:bCs/>
          <w:color w:val="auto"/>
          <w:sz w:val="20"/>
          <w:szCs w:val="20"/>
        </w:rPr>
        <w:tab/>
        <w:t>U istom članku cijeli stavak (3) briše se, a stavak (</w:t>
      </w:r>
      <w:r w:rsidRPr="00487539">
        <w:rPr>
          <w:rFonts w:ascii="Arial Narrow" w:hAnsi="Arial Narrow"/>
          <w:bCs/>
          <w:color w:val="FF0000"/>
          <w:sz w:val="20"/>
          <w:szCs w:val="20"/>
        </w:rPr>
        <w:t>4</w:t>
      </w:r>
      <w:r w:rsidRPr="00487539">
        <w:rPr>
          <w:rFonts w:ascii="Arial Narrow" w:hAnsi="Arial Narrow"/>
          <w:bCs/>
          <w:color w:val="auto"/>
          <w:sz w:val="20"/>
          <w:szCs w:val="20"/>
        </w:rPr>
        <w:t>) postaje stavak (</w:t>
      </w:r>
      <w:r w:rsidRPr="00487539">
        <w:rPr>
          <w:rFonts w:ascii="Arial Narrow" w:hAnsi="Arial Narrow"/>
          <w:bCs/>
          <w:color w:val="2E74B5" w:themeColor="accent5" w:themeShade="BF"/>
          <w:sz w:val="20"/>
          <w:szCs w:val="20"/>
        </w:rPr>
        <w:t>3</w:t>
      </w:r>
      <w:r w:rsidRPr="00487539">
        <w:rPr>
          <w:rFonts w:ascii="Arial Narrow" w:hAnsi="Arial Narrow"/>
          <w:bCs/>
          <w:color w:val="auto"/>
          <w:sz w:val="20"/>
          <w:szCs w:val="20"/>
        </w:rPr>
        <w:t>).</w:t>
      </w:r>
    </w:p>
    <w:p w14:paraId="5E942EB7" w14:textId="3D17F935"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12</w:t>
      </w:r>
    </w:p>
    <w:p w14:paraId="75D10B14" w14:textId="77777777" w:rsidR="00487539" w:rsidRPr="00487539" w:rsidRDefault="00487539" w:rsidP="00487539">
      <w:pPr>
        <w:pStyle w:val="Default"/>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Na kraju članka 14, iza stavka (6) dodaje se pet novih stavak čiji tekst glasi:</w:t>
      </w:r>
    </w:p>
    <w:p w14:paraId="6FA2EDFB" w14:textId="77777777" w:rsidR="00487539" w:rsidRPr="009369CA" w:rsidRDefault="00487539" w:rsidP="00487539">
      <w:pPr>
        <w:widowControl w:val="0"/>
        <w:tabs>
          <w:tab w:val="left" w:pos="567"/>
        </w:tabs>
        <w:autoSpaceDE w:val="0"/>
        <w:autoSpaceDN w:val="0"/>
        <w:adjustRightInd w:val="0"/>
        <w:spacing w:after="60"/>
        <w:ind w:right="-45"/>
        <w:jc w:val="both"/>
        <w:rPr>
          <w:rFonts w:ascii="Arial Narrow" w:hAnsi="Arial Narrow" w:cs="Arial"/>
          <w:bCs/>
          <w:color w:val="2E74B5" w:themeColor="accent5" w:themeShade="BF"/>
          <w:sz w:val="20"/>
          <w:szCs w:val="20"/>
        </w:rPr>
      </w:pPr>
      <w:r w:rsidRPr="009369CA">
        <w:rPr>
          <w:rFonts w:ascii="Arial Narrow" w:hAnsi="Arial Narrow"/>
          <w:bCs/>
          <w:sz w:val="20"/>
          <w:szCs w:val="20"/>
        </w:rPr>
        <w:t>„</w:t>
      </w:r>
      <w:r w:rsidRPr="009369CA">
        <w:rPr>
          <w:rFonts w:ascii="Arial Narrow" w:hAnsi="Arial Narrow" w:cs="Arial"/>
          <w:bCs/>
          <w:color w:val="2E74B5" w:themeColor="accent5" w:themeShade="BF"/>
          <w:sz w:val="20"/>
          <w:szCs w:val="20"/>
        </w:rPr>
        <w:t>(7)</w:t>
      </w:r>
      <w:r w:rsidRPr="009369CA">
        <w:rPr>
          <w:rFonts w:ascii="Arial Narrow" w:hAnsi="Arial Narrow" w:cs="Arial"/>
          <w:bCs/>
          <w:color w:val="2E74B5" w:themeColor="accent5" w:themeShade="BF"/>
          <w:sz w:val="20"/>
          <w:szCs w:val="20"/>
        </w:rPr>
        <w:tab/>
        <w:t>U smislu ovih Odredbi, prirodna morska plaža (R4) sastoji se od pojasa kopna između obalne crte i prostornih jedinica drugih namjena, kao i odgovarajuće površine mora.</w:t>
      </w:r>
    </w:p>
    <w:p w14:paraId="5890AFCB" w14:textId="77777777" w:rsidR="00487539" w:rsidRPr="009369CA" w:rsidRDefault="00487539" w:rsidP="00487539">
      <w:pPr>
        <w:widowControl w:val="0"/>
        <w:tabs>
          <w:tab w:val="left" w:pos="567"/>
        </w:tabs>
        <w:autoSpaceDE w:val="0"/>
        <w:autoSpaceDN w:val="0"/>
        <w:adjustRightInd w:val="0"/>
        <w:spacing w:after="60"/>
        <w:ind w:right="-45"/>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(8)</w:t>
      </w:r>
      <w:r w:rsidRPr="009369CA">
        <w:rPr>
          <w:rFonts w:ascii="Arial Narrow" w:hAnsi="Arial Narrow" w:cs="Arial"/>
          <w:bCs/>
          <w:color w:val="2E74B5" w:themeColor="accent5" w:themeShade="BF"/>
          <w:sz w:val="20"/>
          <w:szCs w:val="20"/>
        </w:rPr>
        <w:tab/>
        <w:t xml:space="preserve">Nerazvrstane ceste NP29 i NP45 (najsjevernije nerazvrstane ceste unutar obuhvata UPU-a) mogu se urediti kao dužobalna šetnica kao javna pješačka površina unutar koje se može polagati potrebna javna komunalna infrastruktura. </w:t>
      </w:r>
    </w:p>
    <w:p w14:paraId="41B4D118" w14:textId="77777777" w:rsidR="00487539" w:rsidRPr="009369CA" w:rsidRDefault="00487539" w:rsidP="00487539">
      <w:pPr>
        <w:widowControl w:val="0"/>
        <w:tabs>
          <w:tab w:val="left" w:pos="567"/>
        </w:tabs>
        <w:autoSpaceDE w:val="0"/>
        <w:autoSpaceDN w:val="0"/>
        <w:adjustRightInd w:val="0"/>
        <w:spacing w:after="60"/>
        <w:ind w:right="-45"/>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(9)</w:t>
      </w:r>
      <w:r w:rsidRPr="009369CA">
        <w:rPr>
          <w:rFonts w:ascii="Arial Narrow" w:hAnsi="Arial Narrow" w:cs="Arial"/>
          <w:bCs/>
          <w:color w:val="2E74B5" w:themeColor="accent5" w:themeShade="BF"/>
          <w:sz w:val="20"/>
          <w:szCs w:val="20"/>
        </w:rPr>
        <w:tab/>
        <w:t xml:space="preserve">Na morskom dijelu prirodne plaže moguća je postava isključivo plutajućih sunčališta s pristupnim mostovima s kopnenog dijela. Na kopnenom dijelu prirodnih plaža moguća je postava „fiksnih“ ležaljki, koje će se „točkasto“ pričvrstiti (uz pomoć čeličnih vijaka) za kamenu obalu prirodne plaže, ali bez popunjavanja grota. </w:t>
      </w:r>
    </w:p>
    <w:p w14:paraId="50C65119" w14:textId="77777777" w:rsidR="00487539" w:rsidRPr="009369CA" w:rsidRDefault="00487539" w:rsidP="00487539">
      <w:pPr>
        <w:widowControl w:val="0"/>
        <w:tabs>
          <w:tab w:val="left" w:pos="567"/>
        </w:tabs>
        <w:autoSpaceDE w:val="0"/>
        <w:autoSpaceDN w:val="0"/>
        <w:adjustRightInd w:val="0"/>
        <w:spacing w:after="0"/>
        <w:ind w:right="-45"/>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(10)</w:t>
      </w:r>
      <w:r w:rsidRPr="009369CA">
        <w:rPr>
          <w:rFonts w:ascii="Arial Narrow" w:hAnsi="Arial Narrow" w:cs="Arial"/>
          <w:bCs/>
          <w:color w:val="2E74B5" w:themeColor="accent5" w:themeShade="BF"/>
          <w:sz w:val="20"/>
          <w:szCs w:val="20"/>
        </w:rPr>
        <w:tab/>
        <w:t>Na kopnenom području prirodne blaže moguću su samo zahvati održavanja (čišćenje od korova i mogućih nanosa zemlje). Nisu dozvoljeni nikakvi zahvati na pomorskom dobru kojima bi se promijenio izgled obale ili promijenio sastav morskog dna. Na prirodnoj plaži strogo su zabranjeni slijedeći zahvati:</w:t>
      </w:r>
    </w:p>
    <w:p w14:paraId="6321FB94" w14:textId="77777777" w:rsidR="00487539" w:rsidRPr="009369CA" w:rsidRDefault="00487539" w:rsidP="00487539">
      <w:pPr>
        <w:widowControl w:val="0"/>
        <w:tabs>
          <w:tab w:val="left" w:pos="567"/>
        </w:tabs>
        <w:autoSpaceDE w:val="0"/>
        <w:autoSpaceDN w:val="0"/>
        <w:adjustRightInd w:val="0"/>
        <w:spacing w:after="0"/>
        <w:ind w:left="567" w:right="-45" w:hanging="283"/>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a)</w:t>
      </w:r>
      <w:r w:rsidRPr="009369CA">
        <w:rPr>
          <w:rFonts w:ascii="Arial Narrow" w:hAnsi="Arial Narrow" w:cs="Arial"/>
          <w:bCs/>
          <w:color w:val="2E74B5" w:themeColor="accent5" w:themeShade="BF"/>
          <w:sz w:val="20"/>
          <w:szCs w:val="20"/>
        </w:rPr>
        <w:tab/>
        <w:t>nanošenje šljunka (oblutaka), odnosno povećanje šljunkovitih površina (dohranjivanje) obale drobljenjem materijala;</w:t>
      </w:r>
    </w:p>
    <w:p w14:paraId="29BD5241" w14:textId="77777777" w:rsidR="00487539" w:rsidRPr="009369CA" w:rsidRDefault="00487539" w:rsidP="00487539">
      <w:pPr>
        <w:widowControl w:val="0"/>
        <w:tabs>
          <w:tab w:val="left" w:pos="567"/>
        </w:tabs>
        <w:autoSpaceDE w:val="0"/>
        <w:autoSpaceDN w:val="0"/>
        <w:adjustRightInd w:val="0"/>
        <w:spacing w:after="0"/>
        <w:ind w:left="567" w:right="-45" w:hanging="283"/>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b)</w:t>
      </w:r>
      <w:r w:rsidRPr="009369CA">
        <w:rPr>
          <w:rFonts w:ascii="Arial Narrow" w:hAnsi="Arial Narrow" w:cs="Arial"/>
          <w:bCs/>
          <w:color w:val="2E74B5" w:themeColor="accent5" w:themeShade="BF"/>
          <w:sz w:val="20"/>
          <w:szCs w:val="20"/>
        </w:rPr>
        <w:tab/>
        <w:t>izvedba platoa i/ili bočnih pera te kamenih podmorskih nasipa za oblikovanje, odnosno zaštitu plažnih površina;</w:t>
      </w:r>
    </w:p>
    <w:p w14:paraId="5F095A42" w14:textId="77777777" w:rsidR="00487539" w:rsidRPr="009369CA" w:rsidRDefault="00487539" w:rsidP="00487539">
      <w:pPr>
        <w:widowControl w:val="0"/>
        <w:tabs>
          <w:tab w:val="left" w:pos="567"/>
        </w:tabs>
        <w:autoSpaceDE w:val="0"/>
        <w:autoSpaceDN w:val="0"/>
        <w:adjustRightInd w:val="0"/>
        <w:spacing w:after="0"/>
        <w:ind w:left="567" w:right="-45" w:hanging="283"/>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c)</w:t>
      </w:r>
      <w:r w:rsidRPr="009369CA">
        <w:rPr>
          <w:rFonts w:ascii="Arial Narrow" w:hAnsi="Arial Narrow" w:cs="Arial"/>
          <w:bCs/>
          <w:color w:val="2E74B5" w:themeColor="accent5" w:themeShade="BF"/>
          <w:sz w:val="20"/>
          <w:szCs w:val="20"/>
        </w:rPr>
        <w:tab/>
        <w:t>uređenje manjih plitkih otvorenih bazena ugrađenih u postojeći oblik;</w:t>
      </w:r>
    </w:p>
    <w:p w14:paraId="04D87D3B" w14:textId="77777777" w:rsidR="00487539" w:rsidRPr="009369CA" w:rsidRDefault="00487539" w:rsidP="00487539">
      <w:pPr>
        <w:widowControl w:val="0"/>
        <w:tabs>
          <w:tab w:val="left" w:pos="567"/>
        </w:tabs>
        <w:autoSpaceDE w:val="0"/>
        <w:autoSpaceDN w:val="0"/>
        <w:adjustRightInd w:val="0"/>
        <w:spacing w:after="0"/>
        <w:ind w:left="567" w:right="-45" w:hanging="283"/>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d)</w:t>
      </w:r>
      <w:r w:rsidRPr="009369CA">
        <w:rPr>
          <w:rFonts w:ascii="Arial Narrow" w:hAnsi="Arial Narrow" w:cs="Arial"/>
          <w:bCs/>
          <w:color w:val="2E74B5" w:themeColor="accent5" w:themeShade="BF"/>
          <w:sz w:val="20"/>
          <w:szCs w:val="20"/>
        </w:rPr>
        <w:tab/>
        <w:t>postava tuševa te kabina za presvlačenje;</w:t>
      </w:r>
    </w:p>
    <w:p w14:paraId="0048FF74" w14:textId="77777777" w:rsidR="00487539" w:rsidRPr="009369CA" w:rsidRDefault="00487539" w:rsidP="00487539">
      <w:pPr>
        <w:widowControl w:val="0"/>
        <w:tabs>
          <w:tab w:val="left" w:pos="567"/>
        </w:tabs>
        <w:autoSpaceDE w:val="0"/>
        <w:autoSpaceDN w:val="0"/>
        <w:adjustRightInd w:val="0"/>
        <w:spacing w:after="60"/>
        <w:ind w:left="568" w:right="-45" w:hanging="284"/>
        <w:jc w:val="both"/>
        <w:rPr>
          <w:rFonts w:ascii="Arial Narrow" w:hAnsi="Arial Narrow" w:cs="Arial"/>
          <w:bCs/>
          <w:color w:val="2E74B5" w:themeColor="accent5" w:themeShade="BF"/>
          <w:sz w:val="20"/>
          <w:szCs w:val="20"/>
        </w:rPr>
      </w:pPr>
      <w:r w:rsidRPr="009369CA">
        <w:rPr>
          <w:rFonts w:ascii="Arial Narrow" w:hAnsi="Arial Narrow" w:cs="Arial"/>
          <w:bCs/>
          <w:color w:val="2E74B5" w:themeColor="accent5" w:themeShade="BF"/>
          <w:sz w:val="20"/>
          <w:szCs w:val="20"/>
        </w:rPr>
        <w:t>e)</w:t>
      </w:r>
      <w:r w:rsidRPr="009369CA">
        <w:rPr>
          <w:rFonts w:ascii="Arial Narrow" w:hAnsi="Arial Narrow" w:cs="Arial"/>
          <w:bCs/>
          <w:color w:val="2E74B5" w:themeColor="accent5" w:themeShade="BF"/>
          <w:sz w:val="20"/>
          <w:szCs w:val="20"/>
        </w:rPr>
        <w:tab/>
        <w:t>postava kioska i pokretnih naprava te ostale pomične opreme (klupe, stolovi i sl.);</w:t>
      </w:r>
    </w:p>
    <w:p w14:paraId="0B7CAF67" w14:textId="77777777" w:rsidR="00487539" w:rsidRPr="00487539" w:rsidRDefault="00487539" w:rsidP="00487539">
      <w:pPr>
        <w:pStyle w:val="Default"/>
        <w:spacing w:after="120"/>
        <w:jc w:val="both"/>
        <w:rPr>
          <w:rFonts w:ascii="Arial Narrow" w:hAnsi="Arial Narrow"/>
          <w:bCs/>
          <w:color w:val="000000" w:themeColor="text1"/>
          <w:sz w:val="20"/>
          <w:szCs w:val="20"/>
        </w:rPr>
      </w:pPr>
      <w:r w:rsidRPr="00487539">
        <w:rPr>
          <w:rFonts w:ascii="Arial Narrow" w:hAnsi="Arial Narrow"/>
          <w:bCs/>
          <w:color w:val="2E74B5" w:themeColor="accent5" w:themeShade="BF"/>
          <w:sz w:val="20"/>
          <w:szCs w:val="20"/>
        </w:rPr>
        <w:t>(11)</w:t>
      </w:r>
      <w:r w:rsidRPr="00487539">
        <w:rPr>
          <w:rFonts w:ascii="Arial Narrow" w:hAnsi="Arial Narrow"/>
          <w:bCs/>
          <w:color w:val="2E74B5" w:themeColor="accent5" w:themeShade="BF"/>
          <w:sz w:val="20"/>
          <w:szCs w:val="20"/>
        </w:rPr>
        <w:tab/>
        <w:t>Na kopnenom dijelu prirodne plaže ne dozvoljava se gradnja nikakvih građevina.</w:t>
      </w:r>
      <w:r w:rsidRPr="00487539">
        <w:rPr>
          <w:rFonts w:ascii="Arial Narrow" w:hAnsi="Arial Narrow"/>
          <w:bCs/>
          <w:color w:val="000000" w:themeColor="text1"/>
          <w:sz w:val="20"/>
          <w:szCs w:val="20"/>
        </w:rPr>
        <w:t>“.</w:t>
      </w:r>
    </w:p>
    <w:p w14:paraId="4961C6FB" w14:textId="03985697"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13</w:t>
      </w:r>
    </w:p>
    <w:p w14:paraId="471B54C1" w14:textId="77777777" w:rsidR="00487539" w:rsidRPr="00487539" w:rsidRDefault="00487539" w:rsidP="00487539">
      <w:pPr>
        <w:pStyle w:val="Default"/>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15, tekst stavaka (2) i (3) mijenja se i novi glasi:</w:t>
      </w:r>
    </w:p>
    <w:p w14:paraId="7E8F48E6" w14:textId="77777777" w:rsidR="00487539" w:rsidRPr="00487539" w:rsidRDefault="00487539" w:rsidP="00487539">
      <w:pPr>
        <w:pStyle w:val="Default"/>
        <w:jc w:val="both"/>
        <w:rPr>
          <w:rFonts w:ascii="Arial Narrow" w:hAnsi="Arial Narrow"/>
          <w:bCs/>
          <w:color w:val="2E74B5" w:themeColor="accent5" w:themeShade="BF"/>
          <w:sz w:val="20"/>
          <w:szCs w:val="20"/>
        </w:rPr>
      </w:pPr>
      <w:r w:rsidRPr="00487539">
        <w:rPr>
          <w:rFonts w:ascii="Arial Narrow" w:hAnsi="Arial Narrow"/>
          <w:bCs/>
          <w:color w:val="auto"/>
          <w:sz w:val="20"/>
          <w:szCs w:val="20"/>
        </w:rPr>
        <w:t>„</w:t>
      </w:r>
      <w:r w:rsidRPr="00487539">
        <w:rPr>
          <w:rFonts w:ascii="Arial Narrow" w:hAnsi="Arial Narrow"/>
          <w:bCs/>
          <w:color w:val="2E74B5" w:themeColor="accent5" w:themeShade="BF"/>
          <w:sz w:val="20"/>
          <w:szCs w:val="20"/>
        </w:rPr>
        <w:t>(2)</w:t>
      </w:r>
      <w:r w:rsidRPr="00487539">
        <w:rPr>
          <w:rFonts w:ascii="Arial Narrow" w:hAnsi="Arial Narrow"/>
          <w:bCs/>
          <w:color w:val="2E74B5" w:themeColor="accent5" w:themeShade="BF"/>
          <w:sz w:val="20"/>
          <w:szCs w:val="20"/>
        </w:rPr>
        <w:tab/>
        <w:t xml:space="preserve">Mreža javnih prometnih površina iz stavka (1) ovog članka, sastoji se od: </w:t>
      </w:r>
    </w:p>
    <w:p w14:paraId="59ECA91F" w14:textId="77777777" w:rsidR="00487539" w:rsidRPr="009369CA" w:rsidRDefault="00487539" w:rsidP="00487539">
      <w:pPr>
        <w:spacing w:after="0"/>
        <w:ind w:left="709" w:hanging="425"/>
        <w:rPr>
          <w:rFonts w:ascii="Arial Narrow" w:hAnsi="Arial Narrow"/>
          <w:bCs/>
          <w:color w:val="2E74B5" w:themeColor="accent5" w:themeShade="BF"/>
          <w:sz w:val="20"/>
          <w:szCs w:val="20"/>
        </w:rPr>
      </w:pPr>
      <w:r w:rsidRPr="009369CA">
        <w:rPr>
          <w:rFonts w:ascii="Arial Narrow" w:hAnsi="Arial Narrow"/>
          <w:bCs/>
          <w:color w:val="2E74B5" w:themeColor="accent5" w:themeShade="BF"/>
          <w:sz w:val="20"/>
          <w:szCs w:val="20"/>
        </w:rPr>
        <w:t>a)</w:t>
      </w:r>
      <w:r w:rsidRPr="009369CA">
        <w:rPr>
          <w:rFonts w:ascii="Arial Narrow" w:hAnsi="Arial Narrow"/>
          <w:bCs/>
          <w:color w:val="2E74B5" w:themeColor="accent5" w:themeShade="BF"/>
          <w:sz w:val="20"/>
          <w:szCs w:val="20"/>
        </w:rPr>
        <w:tab/>
        <w:t>planirane rekonstrukcije postojećih (nerazvrstanih) cesta (NP29) unutar obuhvata UPU-a služe za pristup planiranim i postojećim zgradama. Tu se prvenstveno misli na postojeću prometnicu kojom se pristupa ovom području sa sjevero zapada. Na jednom dijelu planira se njeno proširenje izgradnjom nogostupa (širine 1,50 m) uz sjeverni rub kolnika. Prilikom obnove, predlaže se izvedba nešto povišenog cestovnog rubnjaka prema nižoj strani presjeka kolnika kako bi se smanjio dotok oborinske površinske vode na čestice sjeverno od nje. Ostale postojeće kolno-pješačke površine zadržavaju se i održavat će se u suglasju s odredbama UPU-a i posebnim uvjetima nadležnih službi.</w:t>
      </w:r>
    </w:p>
    <w:p w14:paraId="6720F6FB" w14:textId="77777777" w:rsidR="00487539" w:rsidRPr="009369CA" w:rsidRDefault="00487539" w:rsidP="00487539">
      <w:pPr>
        <w:spacing w:after="0"/>
        <w:ind w:left="709" w:right="-1" w:hanging="425"/>
        <w:rPr>
          <w:rFonts w:ascii="Arial Narrow" w:hAnsi="Arial Narrow"/>
          <w:bCs/>
          <w:color w:val="2E74B5" w:themeColor="accent5" w:themeShade="BF"/>
          <w:sz w:val="20"/>
          <w:szCs w:val="20"/>
        </w:rPr>
      </w:pPr>
      <w:r w:rsidRPr="009369CA">
        <w:rPr>
          <w:rFonts w:ascii="Arial Narrow" w:hAnsi="Arial Narrow"/>
          <w:bCs/>
          <w:color w:val="2E74B5" w:themeColor="accent5" w:themeShade="BF"/>
          <w:sz w:val="20"/>
          <w:szCs w:val="20"/>
        </w:rPr>
        <w:t>b)</w:t>
      </w:r>
      <w:r w:rsidRPr="009369CA">
        <w:rPr>
          <w:rFonts w:ascii="Arial Narrow" w:hAnsi="Arial Narrow"/>
          <w:bCs/>
          <w:color w:val="2E74B5" w:themeColor="accent5" w:themeShade="BF"/>
          <w:sz w:val="20"/>
          <w:szCs w:val="20"/>
        </w:rPr>
        <w:tab/>
        <w:t>planirana prometnica (sjeverna ulica), započinje uz jugoistočni rub obuhvata UPU-a i ima širinu kolnika od 5,50 m, uz izvedbu jednostrane pješačke staze širine 1,50 m uz sjeverni rub kolnika. Uz sjeveroistočni rub obuhvata, na kraju sjeverne ulice planirana je izvedba kružnog okretišta, a koje se zadržava i nakon izvedbe produžetka te prometnice do nerazvrstane ceste za uvalu Lovrečina (nešto sjevernije). Planirana južna ulica služi za kolni pristup do južnih građevnih čestica i izlazi također na ŽC6161, u jugoistočnom dijelu obuhvata UPU-a.</w:t>
      </w:r>
    </w:p>
    <w:p w14:paraId="76AFEA86" w14:textId="77777777" w:rsidR="00487539" w:rsidRPr="009369CA" w:rsidRDefault="00487539" w:rsidP="00487539">
      <w:pPr>
        <w:spacing w:after="0"/>
        <w:ind w:left="709" w:right="363" w:hanging="425"/>
        <w:rPr>
          <w:rFonts w:ascii="Arial Narrow" w:hAnsi="Arial Narrow"/>
          <w:bCs/>
          <w:color w:val="2E74B5" w:themeColor="accent5" w:themeShade="BF"/>
          <w:sz w:val="20"/>
          <w:szCs w:val="20"/>
        </w:rPr>
      </w:pPr>
      <w:r w:rsidRPr="009369CA">
        <w:rPr>
          <w:rFonts w:ascii="Arial Narrow" w:hAnsi="Arial Narrow"/>
          <w:bCs/>
          <w:color w:val="2E74B5" w:themeColor="accent5" w:themeShade="BF"/>
          <w:sz w:val="20"/>
          <w:szCs w:val="20"/>
        </w:rPr>
        <w:t>c)</w:t>
      </w:r>
      <w:r w:rsidRPr="009369CA">
        <w:rPr>
          <w:rFonts w:ascii="Arial Narrow" w:hAnsi="Arial Narrow"/>
          <w:bCs/>
          <w:color w:val="2E74B5" w:themeColor="accent5" w:themeShade="BF"/>
          <w:sz w:val="20"/>
          <w:szCs w:val="20"/>
        </w:rPr>
        <w:tab/>
        <w:t>planiranih neprolaznih kolno-pješačkih površina koje služe za pješačko-kolni pristup do građevnih čestica, a koje nemaju neposredan izlaz na planiranu sabirnicu. Širina ovih kolno-pješačkih površina je od 3,50 do 4,00 m s manjim proširenjem na kraju. Postojeće kolno-pješačke površine zadržavaju se u svom postojećem obliku.</w:t>
      </w:r>
    </w:p>
    <w:p w14:paraId="55C513BC" w14:textId="77777777" w:rsidR="00487539" w:rsidRPr="00487539" w:rsidRDefault="00487539" w:rsidP="00487539">
      <w:pPr>
        <w:pStyle w:val="Default"/>
        <w:spacing w:after="60"/>
        <w:ind w:left="709" w:hanging="425"/>
        <w:rPr>
          <w:rFonts w:ascii="Arial Narrow" w:hAnsi="Arial Narrow"/>
          <w:bCs/>
          <w:color w:val="2E74B5" w:themeColor="accent5" w:themeShade="BF"/>
          <w:sz w:val="20"/>
          <w:szCs w:val="20"/>
        </w:rPr>
      </w:pPr>
      <w:r w:rsidRPr="00487539">
        <w:rPr>
          <w:rFonts w:ascii="Arial Narrow" w:hAnsi="Arial Narrow"/>
          <w:bCs/>
          <w:color w:val="2E74B5" w:themeColor="accent5" w:themeShade="BF"/>
          <w:sz w:val="20"/>
          <w:szCs w:val="20"/>
        </w:rPr>
        <w:t>d)</w:t>
      </w:r>
      <w:r w:rsidRPr="00487539">
        <w:rPr>
          <w:rFonts w:ascii="Arial Narrow" w:hAnsi="Arial Narrow"/>
          <w:bCs/>
          <w:color w:val="2E74B5" w:themeColor="accent5" w:themeShade="BF"/>
          <w:sz w:val="20"/>
          <w:szCs w:val="20"/>
        </w:rPr>
        <w:tab/>
        <w:t>planiranih pješačkih površina (koje dijelom prolaze kroz javne krajobrazno uređene površine) širine od najmanje 2,40 m, a koje služe kao prečica korisnicima ovog područja do uređene plaže u sjevernom dijelu obuhvata UPU-a. Ovisno o terenskim uvjetima, dijelovi staza mogu se izvesti i kao vanjsko stepenište uz čiji bi jedan rub trebalo planirati i rampu širine najmanje 0,90 m</w:t>
      </w:r>
      <w:bookmarkStart w:id="0" w:name="_Hlk108952350"/>
      <w:r w:rsidRPr="00487539">
        <w:rPr>
          <w:rFonts w:ascii="Arial Narrow" w:hAnsi="Arial Narrow"/>
          <w:bCs/>
          <w:color w:val="2E74B5" w:themeColor="accent5" w:themeShade="BF"/>
          <w:sz w:val="20"/>
          <w:szCs w:val="20"/>
        </w:rPr>
        <w:t>, osim u slučajevima kad je (zbog nepovoljnih terenskih uvjeta (nagib terena zbog veće visinske razlike) iznimno dozvoljeno i odstupanje od ovog uvjeta</w:t>
      </w:r>
      <w:bookmarkEnd w:id="0"/>
      <w:r w:rsidRPr="00487539">
        <w:rPr>
          <w:rFonts w:ascii="Arial Narrow" w:hAnsi="Arial Narrow"/>
          <w:bCs/>
          <w:color w:val="2E74B5" w:themeColor="accent5" w:themeShade="BF"/>
          <w:sz w:val="20"/>
          <w:szCs w:val="20"/>
        </w:rPr>
        <w:t>. Završna obrada hodne plohe javnih pješačkih površina može biti od betonskih ili kamenih opločnika.</w:t>
      </w:r>
    </w:p>
    <w:p w14:paraId="0492F349" w14:textId="77777777" w:rsidR="00487539" w:rsidRPr="00487539" w:rsidRDefault="00487539" w:rsidP="00487539">
      <w:pPr>
        <w:pStyle w:val="Default"/>
        <w:spacing w:after="60"/>
        <w:jc w:val="both"/>
        <w:rPr>
          <w:rFonts w:ascii="Arial Narrow" w:hAnsi="Arial Narrow"/>
          <w:bCs/>
          <w:color w:val="2E74B5" w:themeColor="accent5" w:themeShade="BF"/>
          <w:sz w:val="20"/>
          <w:szCs w:val="20"/>
        </w:rPr>
      </w:pPr>
      <w:r w:rsidRPr="00487539">
        <w:rPr>
          <w:rFonts w:ascii="Arial Narrow" w:hAnsi="Arial Narrow"/>
          <w:bCs/>
          <w:color w:val="2E74B5" w:themeColor="accent5" w:themeShade="BF"/>
          <w:sz w:val="20"/>
          <w:szCs w:val="20"/>
        </w:rPr>
        <w:t>(3)</w:t>
      </w:r>
      <w:r w:rsidRPr="00487539">
        <w:rPr>
          <w:rFonts w:ascii="Arial Narrow" w:hAnsi="Arial Narrow"/>
          <w:bCs/>
          <w:color w:val="2E74B5" w:themeColor="accent5" w:themeShade="BF"/>
          <w:sz w:val="20"/>
          <w:szCs w:val="20"/>
        </w:rPr>
        <w:tab/>
      </w:r>
      <w:bookmarkStart w:id="1" w:name="_Hlk108443916"/>
      <w:r w:rsidRPr="00487539">
        <w:rPr>
          <w:rFonts w:ascii="Arial Narrow" w:hAnsi="Arial Narrow"/>
          <w:bCs/>
          <w:color w:val="2E74B5" w:themeColor="accent5" w:themeShade="BF"/>
          <w:sz w:val="20"/>
          <w:szCs w:val="20"/>
        </w:rPr>
        <w:t>Pri projektiranju svih prometnica i kolno-pješačkih površina potrebno je poštivati propisane uvjete za pristup vatrogasnim vozilima, a iznimno zbog nepovoljnih terenskih uvjeta (visinska razlika, nagib terena i sl.) dozvoljeno je odstupanje, ali uz suglasnost nadležne vatrogasne postrojbe.</w:t>
      </w:r>
      <w:bookmarkEnd w:id="1"/>
      <w:r w:rsidRPr="00487539">
        <w:rPr>
          <w:rFonts w:ascii="Arial Narrow" w:hAnsi="Arial Narrow"/>
          <w:bCs/>
          <w:color w:val="2E74B5" w:themeColor="accent5" w:themeShade="BF"/>
          <w:sz w:val="20"/>
          <w:szCs w:val="20"/>
        </w:rPr>
        <w:t xml:space="preserve"> Sve prometne površine predviđene za prilaz i operativni rad vatrogasnih vozila moraju osigurati minimalnu nosivost na osovinski pritisak od 100 kN.“</w:t>
      </w:r>
    </w:p>
    <w:p w14:paraId="148BDEC9"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iza stavka (3) dodaju se četiri nova stavka čiji tekst glasi:</w:t>
      </w:r>
    </w:p>
    <w:p w14:paraId="54EE7F63" w14:textId="77777777" w:rsidR="00487539" w:rsidRPr="00487539" w:rsidRDefault="00487539" w:rsidP="00487539">
      <w:pPr>
        <w:pStyle w:val="Default"/>
        <w:spacing w:after="60"/>
        <w:jc w:val="both"/>
        <w:rPr>
          <w:rFonts w:ascii="Arial Narrow" w:hAnsi="Arial Narrow"/>
          <w:bCs/>
          <w:color w:val="2E74B5" w:themeColor="accent5" w:themeShade="BF"/>
          <w:sz w:val="20"/>
          <w:szCs w:val="20"/>
        </w:rPr>
      </w:pPr>
      <w:r w:rsidRPr="00487539">
        <w:rPr>
          <w:rFonts w:ascii="Arial Narrow" w:hAnsi="Arial Narrow"/>
          <w:bCs/>
          <w:color w:val="auto"/>
          <w:sz w:val="20"/>
          <w:szCs w:val="20"/>
        </w:rPr>
        <w:t>„</w:t>
      </w:r>
      <w:r w:rsidRPr="00487539">
        <w:rPr>
          <w:rFonts w:ascii="Arial Narrow" w:hAnsi="Arial Narrow"/>
          <w:bCs/>
          <w:color w:val="2E74B5" w:themeColor="accent5" w:themeShade="BF"/>
          <w:sz w:val="20"/>
          <w:szCs w:val="20"/>
        </w:rPr>
        <w:t>(4)</w:t>
      </w:r>
      <w:r w:rsidRPr="00487539">
        <w:rPr>
          <w:rFonts w:ascii="Arial Narrow" w:hAnsi="Arial Narrow"/>
          <w:bCs/>
          <w:color w:val="2E74B5" w:themeColor="accent5" w:themeShade="BF"/>
          <w:sz w:val="20"/>
          <w:szCs w:val="20"/>
        </w:rPr>
        <w:tab/>
      </w:r>
      <w:bookmarkStart w:id="2" w:name="_Hlk108443965"/>
      <w:r w:rsidRPr="00487539">
        <w:rPr>
          <w:rFonts w:ascii="Arial Narrow" w:hAnsi="Arial Narrow"/>
          <w:bCs/>
          <w:color w:val="2E74B5" w:themeColor="accent5" w:themeShade="BF"/>
          <w:sz w:val="20"/>
          <w:szCs w:val="20"/>
        </w:rPr>
        <w:t>Uzdužni nagib planiranih prometnih površina u najvećoj mogućoj mjeri treba uskladiti s postojećim nagibom terena.</w:t>
      </w:r>
      <w:bookmarkEnd w:id="2"/>
    </w:p>
    <w:p w14:paraId="5C99E5E9" w14:textId="77777777" w:rsidR="00487539" w:rsidRPr="00487539" w:rsidRDefault="00487539" w:rsidP="00487539">
      <w:pPr>
        <w:pStyle w:val="Default"/>
        <w:spacing w:after="60"/>
        <w:jc w:val="both"/>
        <w:rPr>
          <w:rFonts w:ascii="Arial Narrow" w:hAnsi="Arial Narrow"/>
          <w:bCs/>
          <w:color w:val="2E74B5" w:themeColor="accent5" w:themeShade="BF"/>
          <w:sz w:val="20"/>
          <w:szCs w:val="20"/>
        </w:rPr>
      </w:pPr>
      <w:r w:rsidRPr="00487539">
        <w:rPr>
          <w:rFonts w:ascii="Arial Narrow" w:hAnsi="Arial Narrow"/>
          <w:bCs/>
          <w:color w:val="2E74B5" w:themeColor="accent5" w:themeShade="BF"/>
          <w:sz w:val="20"/>
          <w:szCs w:val="20"/>
        </w:rPr>
        <w:t>(5)</w:t>
      </w:r>
      <w:r w:rsidRPr="00487539">
        <w:rPr>
          <w:rFonts w:ascii="Arial Narrow" w:hAnsi="Arial Narrow"/>
          <w:bCs/>
          <w:color w:val="2E74B5" w:themeColor="accent5" w:themeShade="BF"/>
          <w:sz w:val="20"/>
          <w:szCs w:val="20"/>
        </w:rPr>
        <w:tab/>
        <w:t>Širina pojasa glavne prometnice (sabirnice) je 7,00 m (presjek A-A), rubna prometnica na sjeveru (na dijelu planiranog parkirališta) ima širinu 10,00 m (presjek E-E), odnosno 8,00 m na dijelu gdje se planira izvedba obostranog nogostupa od po 1,50 m (presjek D-D). Širine pojedinih dijelova prometnica (poprečni presjeci) dani su na kartografskom prikazu 2.A. Kod prometnica s presjekom A-A, B-B i C-C u širini poprečnog presjeka treba planirati „upušteni rubnjak“ čiji bi vanjski rub bio poravnat s regulacijskom crtom (uličnom međom) susjednih građevnih čestica. Poprečni presjek ovog upuštenog rubnjaka prema tehničkim obilježjima usklađenog s dostupnim cestovnim rubnjacima. Presjek sjeverne prometnice F-F odgovara dijelu na kojem je u međuvremenu pripremljeno za uređenje okomitog parkirališta.</w:t>
      </w:r>
    </w:p>
    <w:p w14:paraId="1715F988" w14:textId="77777777" w:rsidR="00487539" w:rsidRPr="00487539" w:rsidRDefault="00487539" w:rsidP="00487539">
      <w:pPr>
        <w:pStyle w:val="Default"/>
        <w:spacing w:after="60"/>
        <w:jc w:val="both"/>
        <w:rPr>
          <w:rFonts w:ascii="Arial Narrow" w:hAnsi="Arial Narrow"/>
          <w:bCs/>
          <w:color w:val="2E74B5" w:themeColor="accent5" w:themeShade="BF"/>
          <w:sz w:val="20"/>
          <w:szCs w:val="20"/>
        </w:rPr>
      </w:pPr>
      <w:r w:rsidRPr="00487539">
        <w:rPr>
          <w:rFonts w:ascii="Arial Narrow" w:hAnsi="Arial Narrow"/>
          <w:bCs/>
          <w:color w:val="2E74B5" w:themeColor="accent5" w:themeShade="BF"/>
          <w:sz w:val="20"/>
          <w:szCs w:val="20"/>
        </w:rPr>
        <w:t>(6)</w:t>
      </w:r>
      <w:r w:rsidRPr="00487539">
        <w:rPr>
          <w:rFonts w:ascii="Arial Narrow" w:hAnsi="Arial Narrow"/>
          <w:bCs/>
          <w:color w:val="2E74B5" w:themeColor="accent5" w:themeShade="BF"/>
          <w:sz w:val="20"/>
          <w:szCs w:val="20"/>
        </w:rPr>
        <w:tab/>
        <w:t xml:space="preserve">Kod izvedbe planiranih ulica (sjeverne i južne) dozvoljava se etapnost građenja. Kod izvedbe prve etape „sjeverne ulice“ treba se izvesti pomoćno okretište za komunalna i interventna vozila kao sastavni dio podesta prije pješačke staze kroz javnu krajobrazno uređenu površinu (vidi rješenje na kartografskom prikazu 2.A). Kod planiranja etapnosti „južne ulice“ predložena je </w:t>
      </w:r>
      <w:r w:rsidRPr="00487539">
        <w:rPr>
          <w:rFonts w:ascii="Arial Narrow" w:hAnsi="Arial Narrow"/>
          <w:bCs/>
          <w:color w:val="2E74B5" w:themeColor="accent5" w:themeShade="BF"/>
          <w:sz w:val="20"/>
          <w:szCs w:val="20"/>
        </w:rPr>
        <w:lastRenderedPageBreak/>
        <w:t xml:space="preserve">prva etapa koja završava kod zapadne kolno-pješačke površine (IS-03). </w:t>
      </w:r>
    </w:p>
    <w:p w14:paraId="4112A0BC"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2E74B5" w:themeColor="accent5" w:themeShade="BF"/>
          <w:sz w:val="20"/>
          <w:szCs w:val="20"/>
        </w:rPr>
        <w:t>(7)</w:t>
      </w:r>
      <w:r w:rsidRPr="00487539">
        <w:rPr>
          <w:rFonts w:ascii="Arial Narrow" w:hAnsi="Arial Narrow"/>
          <w:bCs/>
          <w:color w:val="2E74B5" w:themeColor="accent5" w:themeShade="BF"/>
          <w:sz w:val="20"/>
          <w:szCs w:val="20"/>
        </w:rPr>
        <w:tab/>
        <w:t>Planirani pojasevi javnih prometnih površina smatraju se zaštićenim javnim dobrom i u njihovoj širini, po čitavoj dužini, nije dozvoljeno nikakvo građenje osim onog koje je u službi javne prometne površine, odnosno vođenja javne i komunalne infrastrukture. Sve javne prometne površine grade se i obnavljaju neposrednom provedbom UPU-a i planirane su da omoguće prilaz i operativni rad vatrogasnih vozila. Javnu pješačku mrežu u obuhvatu UPU-a čine pješačke površine planirane u pojasevima prometnica kao nogostupi, kolno-pješačke i pješačke površine različitog presjeka (uključujući i dužobalnu šetnicu) i pješačke staze. Zbog strmog terena i većeg nagiba planiranih prometnica sve pješačke površine planirane su na način da omoguće pristup, kretanje osoba s invaliditetom i smanjene pokretljivosti isključivo uz pomoć trećih osoba, ali ipak u kolicima (prema važećim propisima).</w:t>
      </w:r>
      <w:r w:rsidRPr="00487539">
        <w:rPr>
          <w:rFonts w:ascii="Arial Narrow" w:hAnsi="Arial Narrow"/>
          <w:bCs/>
          <w:color w:val="auto"/>
          <w:sz w:val="20"/>
          <w:szCs w:val="20"/>
        </w:rPr>
        <w:t>“.</w:t>
      </w:r>
    </w:p>
    <w:p w14:paraId="02AD2D55" w14:textId="1DABC9D7" w:rsidR="00487539" w:rsidRPr="00487539" w:rsidRDefault="00487539" w:rsidP="00487539">
      <w:pPr>
        <w:pStyle w:val="Default"/>
        <w:tabs>
          <w:tab w:val="left" w:pos="567"/>
        </w:tabs>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14</w:t>
      </w:r>
    </w:p>
    <w:p w14:paraId="48B0D1F9"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16, u tablici stavka (3), u prvom retku kratica „</w:t>
      </w:r>
      <w:r w:rsidRPr="00487539">
        <w:rPr>
          <w:rFonts w:ascii="Arial Narrow" w:hAnsi="Arial Narrow"/>
          <w:bCs/>
          <w:color w:val="FF0000"/>
          <w:sz w:val="20"/>
          <w:szCs w:val="20"/>
        </w:rPr>
        <w:t>BRP</w:t>
      </w:r>
      <w:r w:rsidRPr="00487539">
        <w:rPr>
          <w:rFonts w:ascii="Arial Narrow" w:hAnsi="Arial Narrow"/>
          <w:bCs/>
          <w:color w:val="auto"/>
          <w:sz w:val="20"/>
          <w:szCs w:val="20"/>
        </w:rPr>
        <w:t>“ zamjenjuje se kraticom „</w:t>
      </w:r>
      <w:r w:rsidRPr="00487539">
        <w:rPr>
          <w:rFonts w:ascii="Arial Narrow" w:hAnsi="Arial Narrow"/>
          <w:bCs/>
          <w:color w:val="2E74B5" w:themeColor="accent5" w:themeShade="BF"/>
          <w:sz w:val="20"/>
          <w:szCs w:val="20"/>
        </w:rPr>
        <w:t>GBP</w:t>
      </w:r>
      <w:r w:rsidRPr="00487539">
        <w:rPr>
          <w:rFonts w:ascii="Arial Narrow" w:hAnsi="Arial Narrow"/>
          <w:bCs/>
          <w:color w:val="auto"/>
          <w:sz w:val="20"/>
          <w:szCs w:val="20"/>
        </w:rPr>
        <w:t>“, a u zadnjem retku riječi „</w:t>
      </w:r>
      <w:r w:rsidRPr="00487539">
        <w:rPr>
          <w:rFonts w:ascii="Arial Narrow" w:hAnsi="Arial Narrow"/>
          <w:bCs/>
          <w:color w:val="FF0000"/>
          <w:sz w:val="20"/>
          <w:szCs w:val="20"/>
        </w:rPr>
        <w:t>sa 6-8</w:t>
      </w:r>
      <w:r w:rsidRPr="00487539">
        <w:rPr>
          <w:rFonts w:ascii="Arial Narrow" w:hAnsi="Arial Narrow"/>
          <w:bCs/>
          <w:color w:val="auto"/>
          <w:sz w:val="20"/>
          <w:szCs w:val="20"/>
        </w:rPr>
        <w:t>“ zamjenjuju se riječima „</w:t>
      </w:r>
      <w:r w:rsidRPr="00487539">
        <w:rPr>
          <w:rFonts w:ascii="Arial Narrow" w:hAnsi="Arial Narrow"/>
          <w:bCs/>
          <w:color w:val="2E74B5" w:themeColor="accent5" w:themeShade="BF"/>
          <w:sz w:val="20"/>
          <w:szCs w:val="20"/>
        </w:rPr>
        <w:t>do 12</w:t>
      </w:r>
      <w:r w:rsidRPr="00487539">
        <w:rPr>
          <w:rFonts w:ascii="Arial Narrow" w:hAnsi="Arial Narrow"/>
          <w:bCs/>
          <w:color w:val="auto"/>
          <w:sz w:val="20"/>
          <w:szCs w:val="20"/>
        </w:rPr>
        <w:t>“, dok se broj „</w:t>
      </w:r>
      <w:r w:rsidRPr="00487539">
        <w:rPr>
          <w:rFonts w:ascii="Arial Narrow" w:hAnsi="Arial Narrow"/>
          <w:bCs/>
          <w:color w:val="FF0000"/>
          <w:sz w:val="20"/>
          <w:szCs w:val="20"/>
        </w:rPr>
        <w:t>2,0</w:t>
      </w:r>
      <w:r w:rsidRPr="00487539">
        <w:rPr>
          <w:rFonts w:ascii="Arial Narrow" w:hAnsi="Arial Narrow"/>
          <w:bCs/>
          <w:color w:val="auto"/>
          <w:sz w:val="20"/>
          <w:szCs w:val="20"/>
        </w:rPr>
        <w:t>“ zamjenjuje brojem „</w:t>
      </w:r>
      <w:r w:rsidRPr="00487539">
        <w:rPr>
          <w:rFonts w:ascii="Arial Narrow" w:hAnsi="Arial Narrow"/>
          <w:bCs/>
          <w:color w:val="2E74B5" w:themeColor="accent5" w:themeShade="BF"/>
          <w:sz w:val="20"/>
          <w:szCs w:val="20"/>
        </w:rPr>
        <w:t>3,0</w:t>
      </w:r>
      <w:r w:rsidRPr="00487539">
        <w:rPr>
          <w:rFonts w:ascii="Arial Narrow" w:hAnsi="Arial Narrow"/>
          <w:bCs/>
          <w:color w:val="auto"/>
          <w:sz w:val="20"/>
          <w:szCs w:val="20"/>
        </w:rPr>
        <w:t>“.</w:t>
      </w:r>
    </w:p>
    <w:p w14:paraId="42740ADC" w14:textId="5F6B81EB" w:rsidR="00487539" w:rsidRPr="00487539" w:rsidRDefault="00487539" w:rsidP="00487539">
      <w:pPr>
        <w:pStyle w:val="Default"/>
        <w:tabs>
          <w:tab w:val="left" w:pos="567"/>
        </w:tabs>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15</w:t>
      </w:r>
    </w:p>
    <w:p w14:paraId="78D17CC0"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20, stavak (2), na kraju druge rečenice dodaju se riječi: „</w:t>
      </w:r>
      <w:r w:rsidRPr="00487539">
        <w:rPr>
          <w:rFonts w:ascii="Arial Narrow" w:hAnsi="Arial Narrow"/>
          <w:bCs/>
          <w:color w:val="2E74B5" w:themeColor="accent5" w:themeShade="BF"/>
          <w:sz w:val="20"/>
          <w:szCs w:val="20"/>
        </w:rPr>
        <w:t>tj. sukladno rezultatu hidrauličkog proračuna</w:t>
      </w:r>
      <w:r w:rsidRPr="00487539">
        <w:rPr>
          <w:rFonts w:ascii="Arial Narrow" w:hAnsi="Arial Narrow"/>
          <w:bCs/>
          <w:color w:val="auto"/>
          <w:sz w:val="20"/>
          <w:szCs w:val="20"/>
        </w:rPr>
        <w:t>“, a na kraju tog stavka dodaje se tekst koji glasi: „</w:t>
      </w:r>
      <w:r w:rsidRPr="00487539">
        <w:rPr>
          <w:rFonts w:ascii="Arial Narrow" w:hAnsi="Arial Narrow"/>
          <w:bCs/>
          <w:color w:val="2E74B5" w:themeColor="accent5" w:themeShade="BF"/>
          <w:sz w:val="20"/>
          <w:szCs w:val="20"/>
        </w:rPr>
        <w:t>Okomiti razmak vodoopskrbnog cjevovoda kod križanja s drugim instalacijama iznosi najmanje 20 cm računajući od tjemena odnosno do dna cijevi. Kod križanja s kanalizacijom vodoopskrbni cjevovod mora biti iznad kanalizacije. Najmanja vodoravna udaljenost vodoopskrbnog cjevovoda od drugih ukopanih instalacija je 0,50 m.</w:t>
      </w:r>
      <w:r w:rsidRPr="00487539">
        <w:rPr>
          <w:rFonts w:ascii="Arial Narrow" w:hAnsi="Arial Narrow"/>
          <w:bCs/>
          <w:color w:val="auto"/>
          <w:sz w:val="20"/>
          <w:szCs w:val="20"/>
        </w:rPr>
        <w:t>“.</w:t>
      </w:r>
    </w:p>
    <w:p w14:paraId="17ABC1FF"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na kraju stavka (3) dodaje se tekst koji glasi: „</w:t>
      </w:r>
      <w:r w:rsidRPr="00487539">
        <w:rPr>
          <w:rFonts w:ascii="Arial Narrow" w:hAnsi="Arial Narrow"/>
          <w:bCs/>
          <w:color w:val="2E74B5" w:themeColor="accent5" w:themeShade="BF"/>
          <w:sz w:val="20"/>
          <w:szCs w:val="20"/>
        </w:rPr>
        <w:t>, na međusobnoj udaljenosti do najviše 150,00 m</w:t>
      </w:r>
      <w:r w:rsidRPr="00487539">
        <w:rPr>
          <w:rFonts w:ascii="Arial Narrow" w:hAnsi="Arial Narrow"/>
          <w:bCs/>
          <w:color w:val="auto"/>
          <w:sz w:val="20"/>
          <w:szCs w:val="20"/>
        </w:rPr>
        <w:t>“.</w:t>
      </w:r>
    </w:p>
    <w:p w14:paraId="333E0B03" w14:textId="665C1177" w:rsidR="00487539" w:rsidRPr="00487539" w:rsidRDefault="00487539" w:rsidP="00487539">
      <w:pPr>
        <w:pStyle w:val="Default"/>
        <w:tabs>
          <w:tab w:val="left" w:pos="567"/>
        </w:tabs>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16</w:t>
      </w:r>
    </w:p>
    <w:p w14:paraId="6E392E7B"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21, stavak (3), na kraju alineje b) tekst u zagradi se mijenja i novi glasi: „</w:t>
      </w:r>
      <w:r w:rsidRPr="00487539">
        <w:rPr>
          <w:rFonts w:ascii="Arial Narrow" w:hAnsi="Arial Narrow"/>
          <w:bCs/>
          <w:color w:val="2E74B5" w:themeColor="accent5" w:themeShade="BF"/>
          <w:sz w:val="20"/>
          <w:szCs w:val="20"/>
        </w:rPr>
        <w:t>min. 0,50 m</w:t>
      </w:r>
      <w:r w:rsidRPr="00487539">
        <w:rPr>
          <w:rFonts w:ascii="Arial Narrow" w:hAnsi="Arial Narrow"/>
          <w:bCs/>
          <w:color w:val="auto"/>
          <w:sz w:val="20"/>
          <w:szCs w:val="20"/>
        </w:rPr>
        <w:t>“.</w:t>
      </w:r>
    </w:p>
    <w:p w14:paraId="22B90DF6"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stavak (4), u alineji b) dopisuje se riječ „</w:t>
      </w:r>
      <w:r w:rsidRPr="00487539">
        <w:rPr>
          <w:rFonts w:ascii="Arial Narrow" w:hAnsi="Arial Narrow"/>
          <w:bCs/>
          <w:color w:val="2E74B5" w:themeColor="accent5" w:themeShade="BF"/>
          <w:sz w:val="20"/>
          <w:szCs w:val="20"/>
        </w:rPr>
        <w:t>javnih</w:t>
      </w:r>
      <w:r w:rsidRPr="00487539">
        <w:rPr>
          <w:rFonts w:ascii="Arial Narrow" w:hAnsi="Arial Narrow"/>
          <w:bCs/>
          <w:color w:val="auto"/>
          <w:sz w:val="20"/>
          <w:szCs w:val="20"/>
        </w:rPr>
        <w:t>“ ispred riječi „prometnih kolnih“ i ispred riječi „parkirališta“.</w:t>
      </w:r>
    </w:p>
    <w:p w14:paraId="305951C9" w14:textId="2BC8D2FE" w:rsidR="00487539" w:rsidRPr="00487539" w:rsidRDefault="00487539" w:rsidP="00487539">
      <w:pPr>
        <w:pStyle w:val="Default"/>
        <w:tabs>
          <w:tab w:val="left" w:pos="567"/>
        </w:tabs>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17</w:t>
      </w:r>
    </w:p>
    <w:p w14:paraId="6DA3676E"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Tekst članka 33 mijenja se i novi glasi:</w:t>
      </w:r>
    </w:p>
    <w:p w14:paraId="30C3D7E1" w14:textId="77777777" w:rsidR="00487539" w:rsidRPr="001671BC" w:rsidRDefault="00487539" w:rsidP="00487539">
      <w:pPr>
        <w:widowControl w:val="0"/>
        <w:tabs>
          <w:tab w:val="left" w:pos="567"/>
        </w:tabs>
        <w:autoSpaceDE w:val="0"/>
        <w:autoSpaceDN w:val="0"/>
        <w:adjustRightInd w:val="0"/>
        <w:spacing w:after="60"/>
        <w:jc w:val="both"/>
        <w:rPr>
          <w:rFonts w:ascii="Arial Narrow" w:hAnsi="Arial Narrow" w:cs="Arial"/>
          <w:bCs/>
          <w:sz w:val="20"/>
          <w:szCs w:val="20"/>
        </w:rPr>
      </w:pPr>
      <w:r w:rsidRPr="00487539">
        <w:rPr>
          <w:rFonts w:ascii="Arial Narrow" w:hAnsi="Arial Narrow"/>
          <w:bCs/>
          <w:szCs w:val="20"/>
        </w:rPr>
        <w:t>„</w:t>
      </w:r>
      <w:r w:rsidRPr="001671BC">
        <w:rPr>
          <w:rFonts w:ascii="Arial Narrow" w:hAnsi="Arial Narrow" w:cs="Arial"/>
          <w:bCs/>
          <w:sz w:val="20"/>
          <w:szCs w:val="20"/>
        </w:rPr>
        <w:t>(1)</w:t>
      </w:r>
      <w:r w:rsidRPr="001671BC">
        <w:rPr>
          <w:rFonts w:ascii="Arial Narrow" w:hAnsi="Arial Narrow" w:cs="Arial"/>
          <w:bCs/>
          <w:sz w:val="20"/>
          <w:szCs w:val="20"/>
        </w:rPr>
        <w:tab/>
      </w:r>
      <w:r w:rsidRPr="001671BC">
        <w:rPr>
          <w:rFonts w:ascii="Arial Narrow" w:hAnsi="Arial Narrow" w:cs="Arial"/>
          <w:bCs/>
          <w:color w:val="2E74B5" w:themeColor="accent5" w:themeShade="BF"/>
          <w:sz w:val="20"/>
          <w:szCs w:val="20"/>
        </w:rPr>
        <w:t xml:space="preserve">Zaštita od prirodnih i drugih nesreća, odnosno odgovarajuće urbanističke mjere zaštite od elementarnih nepogoda i ratnih opasnosti, u PPUO Postira temelje se na </w:t>
      </w:r>
      <w:r w:rsidRPr="001671BC">
        <w:rPr>
          <w:rFonts w:ascii="Arial Narrow" w:hAnsi="Arial Narrow" w:cs="Arial"/>
          <w:bCs/>
          <w:i/>
          <w:iCs/>
          <w:color w:val="2E74B5" w:themeColor="accent5" w:themeShade="BF"/>
          <w:sz w:val="20"/>
          <w:szCs w:val="20"/>
        </w:rPr>
        <w:t>Zakonu o zaštiti okoliša</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Zakonu o sustavu civilne zaštite</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Pravilniku o mjerama zaštite od elementarnih nepogoda i ratnih opasnosti u prostornom planiranju i uređivanju prostora</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Pravilniku o nositeljima, sadržaju i postupcima izrade planskih dokumenata u civilnoj zaštiti te informiranju javnosti u postupku njihova donošenja</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Pravilniku o postupku uzbunjivanja stanovništva</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Pravilnik o tehničkim zahtjevima sustava javnog uzbunjivanja stanovništva</w:t>
      </w:r>
      <w:r w:rsidRPr="001671BC">
        <w:rPr>
          <w:rFonts w:ascii="Arial Narrow" w:hAnsi="Arial Narrow" w:cs="Arial"/>
          <w:bCs/>
          <w:color w:val="2E74B5" w:themeColor="accent5" w:themeShade="BF"/>
          <w:sz w:val="20"/>
          <w:szCs w:val="20"/>
        </w:rPr>
        <w:t xml:space="preserve">, </w:t>
      </w:r>
      <w:r w:rsidRPr="001671BC">
        <w:rPr>
          <w:rFonts w:ascii="Arial Narrow" w:hAnsi="Arial Narrow" w:cs="Arial"/>
          <w:bCs/>
          <w:i/>
          <w:iCs/>
          <w:color w:val="2E74B5" w:themeColor="accent5" w:themeShade="BF"/>
          <w:sz w:val="20"/>
          <w:szCs w:val="20"/>
        </w:rPr>
        <w:t>Uredbi o sprječavanju velikih nesreća koje uključuju opasne tvari</w:t>
      </w:r>
      <w:r w:rsidRPr="001671BC">
        <w:rPr>
          <w:rFonts w:ascii="Arial Narrow" w:hAnsi="Arial Narrow" w:cs="Arial"/>
          <w:bCs/>
          <w:color w:val="2E74B5" w:themeColor="accent5" w:themeShade="BF"/>
          <w:sz w:val="20"/>
          <w:szCs w:val="20"/>
        </w:rPr>
        <w:t xml:space="preserve"> te posebnim zahtjevima tijela i osoba s javnim ovlastima sukladno posebnim propisima (zaštita i spašavanje te zaštita od požara). U tom dokumentu utvrđene su i propisane preventivne mjere čijom se implementacijom umanjuju posljedice i učinci djelovanja prirodnih i antropogenih katastrofa i velikih nesreća po kritičnu infrastrukturu te povećava stupanj sigurnosti stanovništva, materijalnih dobara i okoliša. </w:t>
      </w:r>
    </w:p>
    <w:p w14:paraId="643DA263"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r>
      <w:r w:rsidRPr="00487539">
        <w:rPr>
          <w:rFonts w:ascii="Arial Narrow" w:hAnsi="Arial Narrow"/>
          <w:bCs/>
          <w:color w:val="2E74B5" w:themeColor="accent5" w:themeShade="BF"/>
          <w:sz w:val="20"/>
          <w:szCs w:val="20"/>
        </w:rPr>
        <w:t>Vlasnici i korisnici nekretnina u obuhvatu UPU-a u kojima se zbog buke ili zvučne izolacije ne može osigurati dovoljna čujnost sustava javnog uzbunjivanja, dužni su uspostaviti i održavati odgovarajući interni sustav za uzbunjivanje i obavješćivanje te preko istog osigurati provedbu javnog uzbunjivanja i prijem priopćenja nadležnog centra 112 o vrsti opasnosti i mjerama za zaštitu koje je potrebno poduzeti.</w:t>
      </w:r>
      <w:r w:rsidRPr="00487539">
        <w:rPr>
          <w:rFonts w:ascii="Arial Narrow" w:hAnsi="Arial Narrow"/>
          <w:bCs/>
          <w:color w:val="auto"/>
          <w:sz w:val="20"/>
          <w:szCs w:val="20"/>
        </w:rPr>
        <w:t xml:space="preserve">“. </w:t>
      </w:r>
    </w:p>
    <w:p w14:paraId="2B8B8D07" w14:textId="4B974CE0"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18</w:t>
      </w:r>
    </w:p>
    <w:p w14:paraId="23AE0FF3"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35, na kraju stavka (2) dodaje se tekst koji glasi: „</w:t>
      </w:r>
      <w:r w:rsidRPr="00487539">
        <w:rPr>
          <w:rFonts w:ascii="Arial Narrow" w:hAnsi="Arial Narrow"/>
          <w:bCs/>
          <w:color w:val="2E74B5" w:themeColor="accent5" w:themeShade="BF"/>
          <w:sz w:val="20"/>
          <w:szCs w:val="20"/>
        </w:rPr>
        <w:t>, a iznimno zbog nepovoljnih terenskih uvjeta (visinska razlika, nagib terena i sl.) dozvoljeno je odstupanje, ali uz suglasnost nadležne vatrogasne postrojbe</w:t>
      </w:r>
      <w:r w:rsidRPr="00487539">
        <w:rPr>
          <w:rFonts w:ascii="Arial Narrow" w:hAnsi="Arial Narrow"/>
          <w:bCs/>
          <w:color w:val="auto"/>
          <w:sz w:val="20"/>
          <w:szCs w:val="20"/>
        </w:rPr>
        <w:t>“.</w:t>
      </w:r>
    </w:p>
    <w:p w14:paraId="67A69EEA" w14:textId="58999A2F"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19</w:t>
      </w:r>
    </w:p>
    <w:p w14:paraId="7E2B5557" w14:textId="77777777" w:rsidR="00487539" w:rsidRPr="00487539" w:rsidRDefault="00487539" w:rsidP="00487539">
      <w:pPr>
        <w:pStyle w:val="Default"/>
        <w:spacing w:after="6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36, na kraju stavka 81) dodaje se tekst koji glasi: „</w:t>
      </w:r>
      <w:r w:rsidRPr="00487539">
        <w:rPr>
          <w:rFonts w:ascii="Arial Narrow" w:hAnsi="Arial Narrow"/>
          <w:bCs/>
          <w:color w:val="2E74B5" w:themeColor="accent5" w:themeShade="BF"/>
          <w:sz w:val="20"/>
          <w:szCs w:val="20"/>
        </w:rPr>
        <w:t>Projektiranje potresne otpornosti konstrukcija izrađivati u skladu s HRN EN 1998-1:2011/NA:2011, Eurokod 8, čija će primjena osigurati gradnju primjereno seizmički otpornih građevina.</w:t>
      </w:r>
      <w:r w:rsidRPr="00487539">
        <w:rPr>
          <w:rFonts w:ascii="Arial Narrow" w:hAnsi="Arial Narrow"/>
          <w:bCs/>
          <w:color w:val="auto"/>
          <w:sz w:val="20"/>
          <w:szCs w:val="20"/>
        </w:rPr>
        <w:t xml:space="preserve">“. </w:t>
      </w:r>
    </w:p>
    <w:p w14:paraId="5F75DEBE"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(2)</w:t>
      </w:r>
      <w:r w:rsidRPr="00487539">
        <w:rPr>
          <w:rFonts w:ascii="Arial Narrow" w:hAnsi="Arial Narrow"/>
          <w:bCs/>
          <w:color w:val="auto"/>
          <w:sz w:val="20"/>
          <w:szCs w:val="20"/>
        </w:rPr>
        <w:tab/>
        <w:t>U istom članku,  stavak (5) brišu se riječi „</w:t>
      </w:r>
      <w:r w:rsidRPr="00487539">
        <w:rPr>
          <w:rFonts w:ascii="Arial Narrow" w:hAnsi="Arial Narrow"/>
          <w:bCs/>
          <w:color w:val="FF0000"/>
          <w:sz w:val="20"/>
          <w:szCs w:val="20"/>
        </w:rPr>
        <w:t>Zakonu o zaštiti i spašavanju te</w:t>
      </w:r>
      <w:r w:rsidRPr="00487539">
        <w:rPr>
          <w:rFonts w:ascii="Arial Narrow" w:hAnsi="Arial Narrow"/>
          <w:bCs/>
          <w:color w:val="auto"/>
          <w:sz w:val="20"/>
          <w:szCs w:val="20"/>
        </w:rPr>
        <w:t>“.</w:t>
      </w:r>
    </w:p>
    <w:p w14:paraId="47EF0DD8" w14:textId="1CBCD830" w:rsidR="00487539" w:rsidRPr="00487539" w:rsidRDefault="00487539" w:rsidP="00487539">
      <w:pPr>
        <w:pStyle w:val="Default"/>
        <w:spacing w:after="60"/>
        <w:jc w:val="center"/>
        <w:rPr>
          <w:rFonts w:ascii="Arial Narrow" w:hAnsi="Arial Narrow"/>
          <w:bCs/>
          <w:color w:val="auto"/>
          <w:sz w:val="20"/>
          <w:szCs w:val="20"/>
        </w:rPr>
      </w:pPr>
      <w:r w:rsidRPr="00487539">
        <w:rPr>
          <w:rFonts w:ascii="Arial Narrow" w:hAnsi="Arial Narrow"/>
          <w:bCs/>
          <w:color w:val="auto"/>
          <w:sz w:val="20"/>
          <w:szCs w:val="20"/>
        </w:rPr>
        <w:t xml:space="preserve">Članak </w:t>
      </w:r>
      <w:r w:rsidR="002E4869">
        <w:rPr>
          <w:rFonts w:ascii="Arial Narrow" w:hAnsi="Arial Narrow"/>
          <w:bCs/>
          <w:color w:val="auto"/>
          <w:sz w:val="20"/>
          <w:szCs w:val="20"/>
        </w:rPr>
        <w:t>20</w:t>
      </w:r>
    </w:p>
    <w:p w14:paraId="38F2E3BF" w14:textId="77777777" w:rsidR="00487539" w:rsidRPr="00487539" w:rsidRDefault="00487539" w:rsidP="00487539">
      <w:pPr>
        <w:pStyle w:val="Default"/>
        <w:spacing w:after="120"/>
        <w:jc w:val="both"/>
        <w:rPr>
          <w:rFonts w:ascii="Arial Narrow" w:hAnsi="Arial Narrow"/>
          <w:bCs/>
          <w:color w:val="auto"/>
          <w:sz w:val="20"/>
          <w:szCs w:val="20"/>
        </w:rPr>
      </w:pPr>
      <w:r w:rsidRPr="00487539">
        <w:rPr>
          <w:rFonts w:ascii="Arial Narrow" w:hAnsi="Arial Narrow"/>
          <w:bCs/>
          <w:color w:val="auto"/>
          <w:sz w:val="20"/>
          <w:szCs w:val="20"/>
        </w:rPr>
        <w:t>(1)</w:t>
      </w:r>
      <w:r w:rsidRPr="00487539">
        <w:rPr>
          <w:rFonts w:ascii="Arial Narrow" w:hAnsi="Arial Narrow"/>
          <w:bCs/>
          <w:color w:val="auto"/>
          <w:sz w:val="20"/>
          <w:szCs w:val="20"/>
        </w:rPr>
        <w:tab/>
        <w:t>U članku 38, briše se stavak (2).</w:t>
      </w:r>
    </w:p>
    <w:sectPr w:rsidR="00487539" w:rsidRPr="00487539" w:rsidSect="0003532C">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itorica">
    <w:altName w:val="Calibri"/>
    <w:charset w:val="EE"/>
    <w:family w:val="swiss"/>
    <w:pitch w:val="variable"/>
    <w:sig w:usb0="A000022F" w:usb1="5200006A" w:usb2="04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F2ED7"/>
    <w:multiLevelType w:val="hybridMultilevel"/>
    <w:tmpl w:val="A13858FE"/>
    <w:lvl w:ilvl="0" w:tplc="22E65512">
      <w:start w:val="1"/>
      <w:numFmt w:val="decimal"/>
      <w:pStyle w:val="Heading5"/>
      <w:lvlText w:val="članak %1"/>
      <w:lvlJc w:val="center"/>
      <w:pPr>
        <w:ind w:left="5747" w:hanging="360"/>
      </w:pPr>
      <w:rPr>
        <w:rFonts w:ascii="Monitorica" w:hAnsi="Monitorica" w:hint="default"/>
        <w:b/>
        <w:i w:val="0"/>
        <w:caps w:val="0"/>
        <w:strike w:val="0"/>
        <w:dstrike w:val="0"/>
        <w:vanish w:val="0"/>
        <w:sz w:val="20"/>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74AA64E3"/>
    <w:multiLevelType w:val="hybridMultilevel"/>
    <w:tmpl w:val="6E649556"/>
    <w:lvl w:ilvl="0" w:tplc="9902800C">
      <w:start w:val="1"/>
      <w:numFmt w:val="decimal"/>
      <w:lvlText w:val="(%1)"/>
      <w:lvlJc w:val="left"/>
      <w:pPr>
        <w:ind w:left="857" w:hanging="706"/>
      </w:pPr>
      <w:rPr>
        <w:rFonts w:ascii="Monitorica" w:eastAsia="Arial Narrow" w:hAnsi="Monitorica" w:cs="Arial Narrow" w:hint="default"/>
        <w:color w:val="auto"/>
        <w:w w:val="100"/>
        <w:sz w:val="20"/>
        <w:szCs w:val="20"/>
      </w:rPr>
    </w:lvl>
    <w:lvl w:ilvl="1" w:tplc="337C8100">
      <w:numFmt w:val="bullet"/>
      <w:lvlText w:val="•"/>
      <w:lvlJc w:val="left"/>
      <w:pPr>
        <w:ind w:left="1768" w:hanging="706"/>
      </w:pPr>
      <w:rPr>
        <w:rFonts w:hint="default"/>
      </w:rPr>
    </w:lvl>
    <w:lvl w:ilvl="2" w:tplc="6032F10E">
      <w:numFmt w:val="bullet"/>
      <w:lvlText w:val="•"/>
      <w:lvlJc w:val="left"/>
      <w:pPr>
        <w:ind w:left="2676" w:hanging="706"/>
      </w:pPr>
      <w:rPr>
        <w:rFonts w:hint="default"/>
      </w:rPr>
    </w:lvl>
    <w:lvl w:ilvl="3" w:tplc="5B0C5D3A">
      <w:numFmt w:val="bullet"/>
      <w:lvlText w:val="•"/>
      <w:lvlJc w:val="left"/>
      <w:pPr>
        <w:ind w:left="3585" w:hanging="706"/>
      </w:pPr>
      <w:rPr>
        <w:rFonts w:hint="default"/>
      </w:rPr>
    </w:lvl>
    <w:lvl w:ilvl="4" w:tplc="0BFC131C">
      <w:numFmt w:val="bullet"/>
      <w:lvlText w:val="•"/>
      <w:lvlJc w:val="left"/>
      <w:pPr>
        <w:ind w:left="4493" w:hanging="706"/>
      </w:pPr>
      <w:rPr>
        <w:rFonts w:hint="default"/>
      </w:rPr>
    </w:lvl>
    <w:lvl w:ilvl="5" w:tplc="621E74CE">
      <w:numFmt w:val="bullet"/>
      <w:lvlText w:val="•"/>
      <w:lvlJc w:val="left"/>
      <w:pPr>
        <w:ind w:left="5402" w:hanging="706"/>
      </w:pPr>
      <w:rPr>
        <w:rFonts w:hint="default"/>
      </w:rPr>
    </w:lvl>
    <w:lvl w:ilvl="6" w:tplc="621C2FF2">
      <w:numFmt w:val="bullet"/>
      <w:lvlText w:val="•"/>
      <w:lvlJc w:val="left"/>
      <w:pPr>
        <w:ind w:left="6310" w:hanging="706"/>
      </w:pPr>
      <w:rPr>
        <w:rFonts w:hint="default"/>
      </w:rPr>
    </w:lvl>
    <w:lvl w:ilvl="7" w:tplc="9D844630">
      <w:numFmt w:val="bullet"/>
      <w:lvlText w:val="•"/>
      <w:lvlJc w:val="left"/>
      <w:pPr>
        <w:ind w:left="7219" w:hanging="706"/>
      </w:pPr>
      <w:rPr>
        <w:rFonts w:hint="default"/>
      </w:rPr>
    </w:lvl>
    <w:lvl w:ilvl="8" w:tplc="369EDA8C">
      <w:numFmt w:val="bullet"/>
      <w:lvlText w:val="•"/>
      <w:lvlJc w:val="left"/>
      <w:pPr>
        <w:ind w:left="8127" w:hanging="706"/>
      </w:pPr>
      <w:rPr>
        <w:rFonts w:hint="default"/>
      </w:rPr>
    </w:lvl>
  </w:abstractNum>
  <w:num w:numId="1" w16cid:durableId="1599750695">
    <w:abstractNumId w:val="0"/>
  </w:num>
  <w:num w:numId="2" w16cid:durableId="1507398515">
    <w:abstractNumId w:val="0"/>
  </w:num>
  <w:num w:numId="3" w16cid:durableId="58229709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862"/>
    <w:rsid w:val="0003532C"/>
    <w:rsid w:val="00107F2F"/>
    <w:rsid w:val="001671BC"/>
    <w:rsid w:val="002A1722"/>
    <w:rsid w:val="002E4869"/>
    <w:rsid w:val="002F715B"/>
    <w:rsid w:val="003042D2"/>
    <w:rsid w:val="00487539"/>
    <w:rsid w:val="005149EE"/>
    <w:rsid w:val="0053505B"/>
    <w:rsid w:val="005614D8"/>
    <w:rsid w:val="005850C3"/>
    <w:rsid w:val="005852AA"/>
    <w:rsid w:val="005B1987"/>
    <w:rsid w:val="006C20E6"/>
    <w:rsid w:val="00865F61"/>
    <w:rsid w:val="008D7524"/>
    <w:rsid w:val="009369CA"/>
    <w:rsid w:val="00A36862"/>
    <w:rsid w:val="00D91A6B"/>
    <w:rsid w:val="00DF31BC"/>
    <w:rsid w:val="00E15DC6"/>
    <w:rsid w:val="00E241A3"/>
    <w:rsid w:val="00F053F9"/>
    <w:rsid w:val="00F5784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77446"/>
  <w15:chartTrackingRefBased/>
  <w15:docId w15:val="{ADE95377-2441-4BEE-B6B3-0237CCE4D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aliases w:val="ČLANAK"/>
    <w:basedOn w:val="Normal"/>
    <w:next w:val="Normal"/>
    <w:link w:val="Heading5Char"/>
    <w:qFormat/>
    <w:rsid w:val="00E241A3"/>
    <w:pPr>
      <w:numPr>
        <w:numId w:val="1"/>
      </w:numPr>
      <w:spacing w:after="0"/>
      <w:ind w:left="0" w:firstLine="0"/>
      <w:jc w:val="center"/>
      <w:outlineLvl w:val="4"/>
    </w:pPr>
    <w:rPr>
      <w:rFonts w:ascii="Monitorica" w:eastAsia="Times New Roman" w:hAnsi="Monitorica"/>
      <w:b/>
      <w:bCs/>
      <w:i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aliases w:val="ČLANAK Char"/>
    <w:link w:val="Heading5"/>
    <w:rsid w:val="00E241A3"/>
    <w:rPr>
      <w:rFonts w:ascii="Monitorica" w:eastAsia="Times New Roman" w:hAnsi="Monitorica"/>
      <w:b/>
      <w:bCs/>
      <w:iCs/>
      <w:szCs w:val="26"/>
    </w:rPr>
  </w:style>
  <w:style w:type="paragraph" w:customStyle="1" w:styleId="NASLOV1">
    <w:name w:val="NASLOV 1"/>
    <w:basedOn w:val="Normal"/>
    <w:autoRedefine/>
    <w:qFormat/>
    <w:rsid w:val="00E15DC6"/>
    <w:pPr>
      <w:shd w:val="clear" w:color="auto" w:fill="BFBFBF" w:themeFill="background1" w:themeFillShade="BF"/>
      <w:ind w:left="709" w:hanging="709"/>
    </w:pPr>
    <w:rPr>
      <w:rFonts w:ascii="Monitorica" w:eastAsia="Times New Roman" w:hAnsi="Monitorica" w:cs="Arial"/>
      <w:b/>
      <w:sz w:val="28"/>
      <w:szCs w:val="28"/>
    </w:rPr>
  </w:style>
  <w:style w:type="paragraph" w:customStyle="1" w:styleId="NASLOV2">
    <w:name w:val="NASLOV 2"/>
    <w:basedOn w:val="Normal"/>
    <w:autoRedefine/>
    <w:qFormat/>
    <w:rsid w:val="00E15DC6"/>
    <w:pPr>
      <w:shd w:val="clear" w:color="auto" w:fill="D9D9D9" w:themeFill="background1" w:themeFillShade="D9"/>
      <w:jc w:val="both"/>
    </w:pPr>
    <w:rPr>
      <w:rFonts w:ascii="Monitorica" w:eastAsia="Times New Roman" w:hAnsi="Monitorica" w:cs="Arial"/>
      <w:b/>
      <w:sz w:val="24"/>
      <w:szCs w:val="24"/>
    </w:rPr>
  </w:style>
  <w:style w:type="paragraph" w:customStyle="1" w:styleId="ODREDBE">
    <w:name w:val="ODREDBE"/>
    <w:basedOn w:val="Normal"/>
    <w:qFormat/>
    <w:rsid w:val="00E15DC6"/>
    <w:pPr>
      <w:jc w:val="both"/>
    </w:pPr>
    <w:rPr>
      <w:rFonts w:ascii="Monitorica" w:eastAsia="Times New Roman" w:hAnsi="Monitorica" w:cs="Arial"/>
      <w:b/>
      <w:sz w:val="20"/>
      <w:szCs w:val="20"/>
    </w:rPr>
  </w:style>
  <w:style w:type="paragraph" w:styleId="BodyText">
    <w:name w:val="Body Text"/>
    <w:basedOn w:val="Normal"/>
    <w:link w:val="BodyTextChar"/>
    <w:uiPriority w:val="1"/>
    <w:qFormat/>
    <w:rsid w:val="00A36862"/>
    <w:pPr>
      <w:widowControl w:val="0"/>
      <w:autoSpaceDE w:val="0"/>
      <w:autoSpaceDN w:val="0"/>
      <w:spacing w:before="20" w:after="0"/>
      <w:ind w:left="20"/>
    </w:pPr>
    <w:rPr>
      <w:rFonts w:ascii="Monitorica" w:eastAsia="Monitorica" w:hAnsi="Monitorica" w:cs="Monitorica"/>
      <w:b/>
      <w:bCs/>
      <w:kern w:val="0"/>
      <w:sz w:val="20"/>
      <w:szCs w:val="20"/>
      <w:lang w:val="en-US"/>
      <w14:ligatures w14:val="none"/>
    </w:rPr>
  </w:style>
  <w:style w:type="character" w:customStyle="1" w:styleId="BodyTextChar">
    <w:name w:val="Body Text Char"/>
    <w:basedOn w:val="DefaultParagraphFont"/>
    <w:link w:val="BodyText"/>
    <w:uiPriority w:val="1"/>
    <w:rsid w:val="00A36862"/>
    <w:rPr>
      <w:rFonts w:ascii="Monitorica" w:eastAsia="Monitorica" w:hAnsi="Monitorica" w:cs="Monitorica"/>
      <w:b/>
      <w:bCs/>
      <w:kern w:val="0"/>
      <w:sz w:val="20"/>
      <w:szCs w:val="20"/>
      <w:lang w:val="en-US"/>
      <w14:ligatures w14:val="none"/>
    </w:rPr>
  </w:style>
  <w:style w:type="paragraph" w:customStyle="1" w:styleId="Default">
    <w:name w:val="Default"/>
    <w:rsid w:val="00487539"/>
    <w:pPr>
      <w:widowControl w:val="0"/>
      <w:autoSpaceDE w:val="0"/>
      <w:autoSpaceDN w:val="0"/>
      <w:adjustRightInd w:val="0"/>
      <w:spacing w:after="0"/>
    </w:pPr>
    <w:rPr>
      <w:rFonts w:ascii="Arial" w:eastAsia="Times New Roman" w:hAnsi="Arial" w:cs="Arial"/>
      <w:color w:val="000000"/>
      <w:kern w:val="0"/>
      <w:sz w:val="24"/>
      <w:szCs w:val="24"/>
      <w:lang w:eastAsia="hr-HR"/>
      <w14:ligatures w14:val="none"/>
    </w:rPr>
  </w:style>
  <w:style w:type="paragraph" w:customStyle="1" w:styleId="CM42">
    <w:name w:val="CM42"/>
    <w:basedOn w:val="Default"/>
    <w:next w:val="Default"/>
    <w:uiPriority w:val="99"/>
    <w:rsid w:val="00487539"/>
    <w:rPr>
      <w:color w:val="auto"/>
    </w:rPr>
  </w:style>
  <w:style w:type="paragraph" w:styleId="ListParagraph">
    <w:name w:val="List Paragraph"/>
    <w:basedOn w:val="Normal"/>
    <w:uiPriority w:val="1"/>
    <w:qFormat/>
    <w:rsid w:val="00487539"/>
    <w:pPr>
      <w:spacing w:after="0"/>
      <w:ind w:left="708"/>
    </w:pPr>
    <w:rPr>
      <w:rFonts w:ascii="Monitorica" w:eastAsia="Calibri" w:hAnsi="Monitorica" w:cs="Times New Roman"/>
      <w:kern w:val="0"/>
      <w:sz w:val="20"/>
      <w14:ligatures w14:val="none"/>
    </w:rPr>
  </w:style>
  <w:style w:type="paragraph" w:customStyle="1" w:styleId="TableParagraph">
    <w:name w:val="Table Paragraph"/>
    <w:basedOn w:val="Normal"/>
    <w:uiPriority w:val="1"/>
    <w:qFormat/>
    <w:rsid w:val="00487539"/>
    <w:pPr>
      <w:widowControl w:val="0"/>
      <w:autoSpaceDE w:val="0"/>
      <w:autoSpaceDN w:val="0"/>
      <w:spacing w:after="0" w:line="229" w:lineRule="exact"/>
      <w:ind w:left="171"/>
      <w:jc w:val="center"/>
    </w:pPr>
    <w:rPr>
      <w:rFonts w:ascii="Arial Narrow" w:eastAsia="Arial Narrow" w:hAnsi="Arial Narrow" w:cs="Arial Narrow"/>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4203</Words>
  <Characters>23961</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Nenad Lipovac</dc:creator>
  <cp:keywords/>
  <dc:description/>
  <cp:lastModifiedBy>Opcina Postira</cp:lastModifiedBy>
  <cp:revision>7</cp:revision>
  <cp:lastPrinted>2023-09-21T09:57:00Z</cp:lastPrinted>
  <dcterms:created xsi:type="dcterms:W3CDTF">2023-09-13T07:42:00Z</dcterms:created>
  <dcterms:modified xsi:type="dcterms:W3CDTF">2023-09-21T09:57:00Z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ce5c7575-77f8-40c4-9460-5a84f6c59db2</vt:lpwstr>
  </property>
</Properties>
</file>